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RT170165 vom 4. Oktober 2017</w:t>
      </w:r>
    </w:p>
    <w:p>
      <w:r>
        <w:t>ZH Obergericht, 2017-10-04, DE</w:t>
      </w:r>
    </w:p>
    <w:p>
      <w:r>
        <w:rPr>
          <w:b/>
        </w:rPr>
        <w:t xml:space="preserve">Quelle: </w:t>
      </w:r>
      <w:r>
        <w:t>https://mcp.opencaselaw.ch/entscheid/zh_obergericht_RT170165</w:t>
      </w:r>
    </w:p>
    <w:p>
      <w:r>
        <w:t>FR: ZH_OBERGERICHT RT170165 du 4 octobre 2017</w:t>
      </w:r>
    </w:p>
    <w:p>
      <w:r>
        <w:t>IT: ZH_OBERGERICHT RT170165 del 4 ottobre 2017</w:t>
      </w:r>
    </w:p>
    <w:p>
      <w:pPr>
        <w:pStyle w:val="Heading2"/>
      </w:pPr>
      <w:r>
        <w:t>Erwägungen</w:t>
      </w:r>
    </w:p>
    <w:p>
      <w:r>
        <w:rPr>
          <w:b/>
        </w:rPr>
        <w:t>E. 1</w:t>
      </w:r>
    </w:p>
    <w:p>
      <w:r>
        <w:t>a) Mit Urteil vom 7. September 2017 erteilte das Bezirksgericht Mei- len (Vorinstanz) den Gesuchstellern in der Betreibung Nr. … des Betreibungsamts Pfannenstiel (Zahlungsbefehl vom 3. März 2017) – gestützt auf den entsprechen- den Einschätzungsentscheid und die Schlussrechnung für die Staats- und Ge- meindesteuern 2011 – definitive Rechtsöffnung für Fr. 21'270.85 nebst 4.5% Zins seit 1. März 2017 sowie Fr. 4'861.75 Zinsen bis 28. Februar 2017; die Kosten- und Entschädigungsfolgen wurden zu Lasten des Gesuchsgegners geregelt (Urk. 10 = Urk. 13). b) Gegen dieses ihm am 11. September 2017 zugestellte (Urk. 11/2) Ur- teil hat der Gesuchsgegner am 21. September 2017 fristgerecht Beschwerde er- hoben und stellt sinngemäss den Beschwerdeantrag (Urk. 12): Das angefochtene Urteil sei aufzuheben und das Rechtsöffnungsgesuch sei abzuweisen. c) Die vorinstanzlichen Akten wurden beigezogen. Da sich die Beschwer- de sogleich als unbegründet erweist, kann auf die Einholung einer Beschwerde- antwort verzichtet werden (Art. 322 Abs. 1 ZPO).</w:t>
      </w:r>
    </w:p>
    <w:p>
      <w:r>
        <w:rPr>
          <w:b/>
        </w:rPr>
        <w:t>E. 2</w:t>
      </w:r>
    </w:p>
    <w:p>
      <w:r>
        <w:t>a) Die Vorinstanz erwog im Wesentlichen, die Gesuchsteller würden Rechtsöffnung verlangen gestützt auf den Einschätzungsentscheid vom 15. Okto- ber 2012 sowie die entsprechende Schlussrechnung vom 5. November 2012 für die Staats- und Gemeindesteuern 2011. Diese seien rechtskräftig und würden ei- nen zusammengesetzten definitiven Rechtsöffnungstitel darstellen (Urk. 13 S. 3). Der Gesuchsgegner habe eingewendet, dass er gegen den Einschätzungs- entscheid telefonisch Einsprache erhoben habe, was ihm bestätigt worden sei. Jedoch sei gegen den Einschätzungsentscheid gemäss dessen zutreffender Rechtsmittelbelehrung schriftlich Einsprache zu erheben, die Beweislast für die Einspracheerhebung trage der Gesuchsgegner und seine Behauptung der telefo- nischen Einspracheerhebung und Bestätigung sei unbelegt geblieben. Der Ge- suchsgegner habe auch eingewendet, dass die Veranlagungsbehörde seine wirt-</w:t>
      </w:r>
    </w:p>
    <w:p>
      <w:r>
        <w:t>- 3 - schaftliche Leistungsfähigkeit nicht berücksichtigt und das steuerbare Einkommen willkürlich festgesetzt habe. Jedoch sei das Rechtsöffnungsverfahren ein Vollstre- ckungsverfahren, in welchem Rügen gegen den materiellen Bestand der Forde- rung nicht mehr geprüft werden könnten; eine Nichtigkeit sei nicht ersichtlich. Der Gesuchsgegner habe schliesslich eingewendet, es sei die Verjährung zu prüfen. Jedoch sei das Veranlagungsverfahren mit dem vorliegenden Rechtsöffnungstitel innert der Verjährungsfrist von fünf Jahren seit Ablauf der Steuerperiode 2011 zum rechtskräftigen Abschluss gekommen und mit dem Zahlungsbefehl vom</w:t>
      </w:r>
    </w:p>
    <w:p>
      <w:r>
        <w:rPr>
          <w:b/>
        </w:rPr>
        <w:t>E. 3</w:t>
      </w:r>
    </w:p>
    <w:p>
      <w:r>
        <w:t>a) Der Streitwert für das Beschwerdeverfahren beträgt Fr. 21'270.85. Die zweitinstanzliche Entscheidgebühr ist in Anwendung von Art. 48 i.V.m. Art. 61 Abs. 1 GebV SchKG auf Fr. 500.-- festzusetzen. b) Die Gerichtskosten des Beschwerdeverfahrens sind ausgangsgemäss dem Gesuchsgegner aufzuerlegen (Art. 106 Abs. 1 ZPO).</w:t>
      </w:r>
    </w:p>
    <w:p>
      <w:r>
        <w:t>- 5 - c) Für das Beschwerdeverfahren hat der Gesuchsgegner zufolge seines Unterliegens keinen Anspruch auf eine Entschädigung und den Gesuchstellern erwuchs kein entschädigungsberechtigender Aufwand. Demgemäss sind für das Beschwerdeverfahren keine Parteientschädigungen zuzusprechen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