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RT170164 vom 3. Oktober 2017</w:t>
      </w:r>
    </w:p>
    <w:p>
      <w:r>
        <w:t>ZH Obergericht, 2017-10-03, DE</w:t>
      </w:r>
    </w:p>
    <w:p>
      <w:r>
        <w:rPr>
          <w:b/>
        </w:rPr>
        <w:t xml:space="preserve">Quelle: </w:t>
      </w:r>
      <w:r>
        <w:t>https://mcp.opencaselaw.ch/entscheid/zh_obergericht_RT170164</w:t>
      </w:r>
    </w:p>
    <w:p>
      <w:r>
        <w:t>FR: ZH_OBERGERICHT RT170164 du 3 octobre 2017</w:t>
      </w:r>
    </w:p>
    <w:p>
      <w:r>
        <w:t>IT: ZH_OBERGERICHT RT170164 del 3 ottobre 2017</w:t>
      </w:r>
    </w:p>
    <w:p>
      <w:pPr>
        <w:pStyle w:val="Heading2"/>
      </w:pPr>
      <w:r>
        <w:t>Erwägungen</w:t>
      </w:r>
    </w:p>
    <w:p>
      <w:r>
        <w:rPr>
          <w:b/>
        </w:rPr>
        <w:t>E. 1</w:t>
      </w:r>
    </w:p>
    <w:p>
      <w:r>
        <w:t>a) Mit Urteil vom 15. Juni 2017 erteilte das Bezirksgericht Affoltern (Vorinstanz) der Gesuchstellerin in der Betreibung Nr. ... des Betreibungsamts Bonstetten ZH (Zahlungsbefehl vom 28. November 2016) – gestützt auf entspre- chende Verfügungen für Anschlussgebühren, Wasserzins, Grundeigentümerbei- träge, Strom und Steuern – definitive Rechtsöffnung für Fr. 110'469.15 sowie für 4% Verzugszins ab 17. November 2016, im Mehrbetrag (Betreibungskosten) wurde das Gesuch abgewiesen und die Gesuchstellerin für berechtigt erklärt, von den Zahlungen die Betreibungskosten vorab zu erheben; die Kosten- und Ent- schädigungsfolgen wurden zu Lasten der Gesuchsgegnerin geregelt (Urk. 11; nachträglich begründet: Urk. 15 = Urk. 20). b) Hiergegen hat die Gesuchsgegnerin am 18. September 2017 fristge- recht (Urk. 18) Beschwerde erhoben und stellt die Beschwerdeanträge (Urk. 19 S. 2): "1. Das Urteil vom 15. Juni 2017 des Einzelrichters des Bezirksgerichts Af- foltern sei aufzuheben</w:t>
      </w:r>
    </w:p>
    <w:p>
      <w:r>
        <w:rPr>
          <w:b/>
        </w:rPr>
        <w:t>E. 2</w:t>
      </w:r>
    </w:p>
    <w:p>
      <w:r>
        <w:t>Die Gesuchsgegnerin beantragt zwar einzig die Aufhebung des ange- fochtenen Entscheids, aus dem Gesamtzusammenhang ergibt sich jedoch ein- deutig, dass sie die Abweisung des Rechtsöffnungsgesuchs (bzw. Nichteintreten auf dasselbe) erreichen will.</w:t>
      </w:r>
    </w:p>
    <w:p>
      <w:r>
        <w:rPr>
          <w:b/>
        </w:rPr>
        <w:t>E. 3</w:t>
      </w:r>
    </w:p>
    <w:p>
      <w:r>
        <w:t>a) Die Vorinstanz erwog im Wesentlichen, die Gesuchsgegnerin ha- be die örtliche Zuständigkeit bestritten sowie sinngemäss die Einrede der Voraus- verwertung erhoben. In der vorliegenden ordentlichen Betreibung auf Pfändung sei Betreibungsort der Wohnsitz des Schuldners; die angerufene Vorinstanz sei damit örtlich zuständig. Die Einrede der Vorausverwertung (beneficium excussio-</w:t>
      </w:r>
    </w:p>
    <w:p>
      <w:r>
        <w:t>- 3 - nis realis) hätte sodann mit Beschwerde gegen den Zahlungsbefehl innert 10 Ta- gen geltend gemacht werden müssen, ansonsten diese verwirkt sei; nachdem der Zahlungsbefehl am 23. Januar 2017 zugestellt worden sei und die Gesuchsgeg- nerin die Einrede erst (sinngemäss) am 28. Mai 2017 erhoben habe, sei die Ein- rede der Vorausverwertung verwirkt (Urk. 20 S. 4 f.). Als Rechtsöffnungstitel stüt- ze sich die Gesuchstellerin auf entsprechende Verfügungen für besondere Was- seranschlussgebühren 2013-2014, besondere ARA-Anschlussgebühren 2012- 2014, Wassergebühren 2012-2014, Grundeigentümerbeitrag "Verduonig", Strom- gebühren 2013-2015 und Gemeindesteuern 2011 und 2012. Alle diese Verfügun- gen seien genau beziffert, rechtskräftig sowie vollstreckbar und stellten damit de- finitive Rechtsöffnungstitel dar. Die Gesuchsgegnerin habe keine Einwendungen im Sinne von Art. 81 Abs. 1 SchKG (Tilgung, Stundung oder Verjährung) vorge- bracht. Die Forderung samt Verzugszins sei durch die eingereichten Urkunden ausgewiesen (Urk. 20 S. 5-9).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Gesuchsgegnerin macht in ihrer Beschwerde im Wesentlichen gel- tend, sie habe die Einrede beneficium excussionis realis bereits zusammen mit dem Rechtsvorschlag auf dem Zahlungsbefehl vorgebracht; das Betreibungsamt Bonstetten habe die Einrede zwar entgegengenommen, auf dem Zahlungsbefehl aber ignoriert und die Vorinstanz tue dies ebenfalls. Da sie diese Einrede vorge- bracht habe, sei nicht das Betreibungsamt Bonstetten, sondern dasjenige am Ort</w:t>
      </w:r>
    </w:p>
    <w:p>
      <w:r>
        <w:t>- 4 - der gelegenen Sache und damit Jenins bzw. Landquart zuständig; die Vorinstanz sei demnach örtlich nicht zuständig. Sie (die Gesuchsgegnerin) habe die Einrede der Vorausverwertung zusammen mit dem Rechtsvorschlag fristgerecht vorge- bracht; sie sei damit entgegen der Vorinstanz keinesfalls verwirkt. Demzufolge sei die Vorinstanz örtlich nicht zuständig und das Urteil aufzuheben (Urk. 19 S. 2 f.). d) Die Gesuchsgegnerin hatte im vorinstanzlichen Verfahren am 28. Mai 2017 eine Stellungnahme eingereicht (Urk. 8). In dieser hatte sie geltend ge- macht, alle Forderungen der Gesuchstellerin seien aufgrund einer Vereinbarung vom 31. März 2015 auf einem Grundstück in Jenins grundpfandgesichert, daher seien das Betreibungsamt und das Bezirksgericht Landquart örtlich zuständig, dagegen nicht das Betreibungsamt Bonstetten und die Vorinstanz (Urk. 8 S. 2). Dass sie die Einrede der Vorausverwertung bereits mit Erhebung des Rechtsvor- schlags erhoben hätte, wie sie nun in ihrer Beschwerde vorträgt, hat die Ge- suchsgegnerin dagegen im vorinstanzlichen Verfahren nicht geltend gemacht. Auch in den Akten findet sich dafür keine Stütze, denn auf dem in der Beschwer- de als Beweisofferte genannten Zahlungsbefehl vom 28. November 2016 ist nichts von einer Einrede der Vorausverwertung o.ä. vermerkt, sondern ist lediglich angegeben, dass am 1. Februar 2017 Rechtsvorschlag (für die gesamte Forde- rung) erhoben wurde (vgl. Urk. 3/242). Diese im Beschwerdeverfahren neu erho- bene Tatsachenbehauptung kann daher nicht berücksichtigt werden (Art. 326 Abs. 1 ZPO; oben Erw. 3.b). Somit bleibt es dabei, dass die Einrede der Voraus- verwertung nicht fristgerecht erhoben wurde und damit verwirkt ist, womit die Vor- instanz ihre örtliche Zuständigkeit zu Recht bejaht hat. Weitere Beanstandungen der vorinstanzlichen Erwägungen enthält die Be- schwerde nicht. e) Nach dem Gesagten erweist sich die Beschwerde als unbegründet; sie ist demgemäss abzuweisen.</w:t>
      </w:r>
    </w:p>
    <w:p>
      <w:r>
        <w:rPr>
          <w:b/>
        </w:rPr>
        <w:t>E. 4</w:t>
      </w:r>
    </w:p>
    <w:p>
      <w:r>
        <w:t>a) Der Streitwert des Beschwerdeverfahrens beträgt Fr. 110'469.15. Die zweitinstanzliche Entscheidgebühr ist in Anwendung von Art. 48 i.V.m. Art. 61 Abs. 1 GebV SchKG auf Fr. 1'000.-- festzusetzen.</w:t>
      </w:r>
    </w:p>
    <w:p>
      <w:r>
        <w:t>- 5 - b) Die Gerichtskosten des Beschwerdeverfahrens sind ausgangsgemäss der Gesuchsgegnerin aufzuerlegen (Art. 106 Abs. 1 ZPO). c) Für das Beschwerdeverfahren sind keine Parteientschädigungen zuzu- sprechen, der Gesuchsgegnerin zufolge ihres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