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RT170137 vom 26. Juli 2017</w:t>
      </w:r>
    </w:p>
    <w:p>
      <w:r>
        <w:t>ZH Obergericht, 2017-07-26, DE</w:t>
      </w:r>
    </w:p>
    <w:p>
      <w:r>
        <w:rPr>
          <w:b/>
        </w:rPr>
        <w:t xml:space="preserve">Quelle: </w:t>
      </w:r>
      <w:r>
        <w:t>https://mcp.opencaselaw.ch/entscheid/zh_obergericht_RT170137</w:t>
      </w:r>
    </w:p>
    <w:p>
      <w:r>
        <w:t>FR: ZH_OBERGERICHT RT170137 du 26 juillet 2017</w:t>
      </w:r>
    </w:p>
    <w:p>
      <w:r>
        <w:t>IT: ZH_OBERGERICHT RT170137 del 26 luglio 2017</w:t>
      </w:r>
    </w:p>
    <w:p>
      <w:pPr>
        <w:pStyle w:val="Heading2"/>
      </w:pPr>
      <w:r>
        <w:t>Erwägungen</w:t>
      </w:r>
    </w:p>
    <w:p>
      <w:r>
        <w:rPr>
          <w:b/>
        </w:rPr>
        <w:t>E. 1</w:t>
      </w:r>
    </w:p>
    <w:p>
      <w:r>
        <w:t>a) Mit Urteil vom 22. Juni 2017 erteilte die Vorinstanz der Gesuch- stellerin und Beschwerdegegnerin (fortan Gesuchstellerin) in der Betreibung Nr. ... des Betreibungsamtes Winterthur-Stadt (Zahlungsbefehl vom 5. Mai 2017) – für ausstehende Unterhaltszahlungen – definitive Rechtsöffnung für Fr. 550.– nebst Zins zu 5 % seit 5. Mai 2017 sowie Fr. 53.30 Zahlungsbefehlskosten. Im Mehrbe- trag (Zins) wies die Vorinstanz das Begehren ab (Urk. 10 = Urk. 13). b) Hiergegen erhob der Gesuchsgegner und Beschwerdeführer (fortan Gesuchsgegner) mit Eingabe vom 12. Juli 2017, eingegangen am 17. Juli 2017, fristgerecht Beschwerde mit dem Antrag (Urk. 12 S. 1): Der Entscheid sei aufzuheben und die Rechtsöffnung sei zu verwei- gern.</w:t>
      </w:r>
    </w:p>
    <w:p>
      <w:r>
        <w:rPr>
          <w:b/>
        </w:rPr>
        <w:t>E. 2</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(Freiburghaus/Afheldt, in: Sutter-Somm/Hasenböhler/Leuenberger, ZPO-Komm., Art. 321 N 15; BK ZPO-Sterchi, Art. 321 N 17 ff.).</w:t>
      </w:r>
    </w:p>
    <w:p>
      <w:r>
        <w:rPr>
          <w:b/>
        </w:rPr>
        <w:t>E. 3</w:t>
      </w:r>
    </w:p>
    <w:p>
      <w:r>
        <w:t>a) Die Vorinstanz erwog im Wesentlichen, der Gesuchsgegner habe sich innert der ihm mit Verfügung vom 6. Juni 2017 angesetzten Frist zur Stel- lungnahme zum Rechtsöffnungsgesuch nicht vernehmen lassen, weshalb andro- hungsgemäss aufgrund der Akten entschieden werde (Urk. 13 S. 2). Das rechts- kräftige Eheschutzurteil vom 8. April 2015, welches den Gesuchsgegner verpflich- te, der Gesuchstellerin auf den Ersten eines jeden Monats Unterhaltsbeiträge von Fr. 275.– ab 1. Mai 2015 zu bezahlen, stelle einen definitiven Rechtsöffnungstitel im Sinne von Art. 80 SchKG dar (Urk. 13 S. 3). Die Höhe der verlangten Unter- haltsbeiträge für die Monate Januar und Februar 2017 sei ausgewiesen und fällig (Urk. 13 S. 3 f.). Der Verzugszins von 5 % sei nicht ab 2. Januar bzw. 2. Februar 2017, sondern ab 5. Mai 2017 – Datum des Zahlungsbefehls – geschuldet</w:t>
      </w:r>
    </w:p>
    <w:p>
      <w:r>
        <w:t>- 3 - (Urk. 13 S. 4). Die Zahlungsbefehlskosten von Fr. 53.30 seien ebenfalls ausge- wiesen (Urk. 13 S. 5). b) Der Gesuchsgegner rügt, sein Arbeitgeber ziehe ihm die geschul- deten Unterhaltsbeiträge jeden Monat von seinem Lohn ab. Diese würden mit ei- nem Dauerauftrag direkt an die Gesuchstellerin überwiesen. Die Buchhaltung des Arbeitgebers sei Anfang des Jahres umgestellt worden, weshalb die Überweisung der Unterhaltsbeiträge für die Monate Januar und Februar 2017 mit der Lohnzah- lung von Ende Februar 2017, total Fr. 550.–, erfolgt sei. Damit sei der verlangte Betrag getilgt (Urk. 12 S. 1). Der Gesuchsgegner liess vor Vorinstanz die Frist zur Stellungnahme zum Rechtsöffnungsgesuch der Gesuchstellerin unbenutzt verstreichen. Sein Einwand erweist sich als verspätet, sind doch neue Anträge, neue Tatsachenbe- hauptungen und neue Beweismittel nach Art. 326 Abs. 1 ZPO im Beschwerdever- fahren ausgeschlossen, d.h. was im erstinstanzlichen Verfahren nicht vorgetragen wurde, kann im Beschwerdeverfahren nicht mehr geltend gemacht bzw. nachge- holt werden. Das Novenverbot ist umfassend (Freiburghaus/Afheldt, a.a.O., Art. 326 N 3 f.). Dieser vom Gesuchsgegner erstmals nach Zustellung des vor- instanzlichen Urteils im Dispositiv (vgl. Urk. 8) und auch im Beschwerdeverfahren (nachträglich) gelieferte Einwand ist als neu vorgebrachte Tatsachenbehauptung unzulässig und im Beschwerdeverfahren unbeachtlich (Art. 326 Abs. 1 ZPO). Dasselbe trifft auf die von ihm nach Zustellung des vorinstanzlichen Urteils im Dispositiv und nun im Beschwerdeverfahren zu den Akten gereichten Lohnab- rechnungen der Monate Dezember 2016 und Februar bis Mai 2017 zu. Sie erfol- gen verspätet und sind daher nicht zu beachten (Urk. 15/1-5 und Urk. 9/1-5). Der Gesuchsgegner erhebt keine weiteren Rügen gegen das angefochtene Urteil bzw. bringt nichts vor, was die Rechtsanwendung der Vorinstanz unrichtig oder ihre Sachverhaltsfeststellung gar offensichtlich unrichtig erscheinen lassen würde (Urk. 12). c) Zusammenfassend erweist sich die Beschwerde als offensichtlich unbegründet. Es kann daher davon abgesehen werden, eine Beschwerdeantwort</w:t>
      </w:r>
    </w:p>
    <w:p>
      <w:r>
        <w:t>- 4 - der Gesuchstellerin oder eine Stellungnahme der Vorinstanz einzuholen (Art. 322 ZPO, Art. 324 ZPO). Die Beschwerde ist abzuweisen.</w:t>
      </w:r>
    </w:p>
    <w:p>
      <w:r>
        <w:rPr>
          <w:b/>
        </w:rPr>
        <w:t>E. 4</w:t>
      </w:r>
    </w:p>
    <w:p>
      <w:r>
        <w:t>a) Ausgangsgemäss sind die Gerichtskosten des Beschwerdever- fahrens dem Gesuchsgegner aufzuerlegen (Art. 106 Abs. 1 ZPO). Die zweitin- stanzliche Spruchgebühr ist in Anwendung von Art. 48 i.V.m. Art. 61 Abs. 1 GebV SchKG auf Fr. 150.– festzusetzen. b) Der Gesuchstellerin ist mangels relevanter Umtriebe im Be- 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