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RT170124 vom 31. Juli 2017</w:t>
      </w:r>
    </w:p>
    <w:p>
      <w:r>
        <w:t>ZH Obergericht, 2017-07-31, DE</w:t>
      </w:r>
    </w:p>
    <w:p>
      <w:r>
        <w:rPr>
          <w:b/>
        </w:rPr>
        <w:t xml:space="preserve">Quelle: </w:t>
      </w:r>
      <w:r>
        <w:t>https://mcp.opencaselaw.ch/entscheid/zh_obergericht_RT170124</w:t>
      </w:r>
    </w:p>
    <w:p>
      <w:r>
        <w:t>FR: ZH_OBERGERICHT RT170124 du 31 juillet 2017</w:t>
      </w:r>
    </w:p>
    <w:p>
      <w:r>
        <w:t>IT: ZH_OBERGERICHT RT170124 del 31 luglio 2017</w:t>
      </w:r>
    </w:p>
    <w:p>
      <w:pPr>
        <w:pStyle w:val="Heading2"/>
      </w:pPr>
      <w:r>
        <w:t>Erwägungen</w:t>
      </w:r>
    </w:p>
    <w:p>
      <w:r>
        <w:rPr>
          <w:b/>
        </w:rPr>
        <w:t>E. 4</w:t>
      </w:r>
    </w:p>
    <w:p>
      <w:r>
        <w:t>Mai 2017 erteilte die Vorinstanz der Gesuchstellerin und Beschwerdegegnerin (fortan Gesuchstellerin) in der Betreibung Nr. ... des Betreibungsamtes Win- terthur-Stadt, Zahlungsbefehl vom 10. Februar 2017, provisorische Rechtsöffnung für Fr. 9'846.60 sowie Kosten und Entschädigung (Urk. 8 S. 4 = Urk. 17 S. 4). 1.2. Gegen dieses Urteil wandte sich der Gesuchsgegner und Beschwerdeführer (fortan Gesuchsgegner) mit Schreiben vom 12. Juni 2017 an die Vorinstanz (Urk. 10; Urk. 15). Auf deren Anfrage (Urk. 11) bestätigte er mit Eingabe vom 24. Juni 2017 seinen Beschwerdewillen (Urk. 12; Urk. 16), worauf die Vorinstanz das Schreiben des Gesuchsgegners vom 12. Juni 2017 zusammen mit den übri- gen Akten an die beschliessende Kammer weiterleitete (Urk. 14). 1.3. Da sich die Beschwerde - wie nachstehend zu zeigen ist - sogleich als of- fensichtlich unzulässig erweist, kann auf die Einholung einer Beschwerdeantwort verzichtet werden (Art. 322 Abs. 1 ZPO). 2.1. Entgegen der klar formulierten Rechtsmittelbelehrung im angefochtenen Entscheid (vgl. Dispositiv-Ziffer 7, Urk. 17 S. 5) reichte der Gesuchsgegner seine Eingabe vom 12. Juni 2017, mit welcher er Beschwerde erheben wollte (Urk. 15, Urk. 16), statt bei der zuständigen Kammer bei der Vorinstanz ein. Gestützt auf die Praxis des Bundesgerichts und die einhellige Lehre schadet jedoch dem Rechtsmittelkläger eine versehentlich bei der Vorinstanz (iudex a quo) eingereich- te Beschwerde nicht (BGE 140 III 636 E. 3.6 und 3.7; BK ZPO-Sterchi, Art. 311 N 4 mit weiteren Hinweisen). Die Eingabe wurde denn auch von der Vorinstanz unverzüglich - nach Klärung des Beschwerdewillens - an die zuständige Kammer weitergeleitet. 2.2. Indes hat der Gesuchsgegner seine Beschwerde zu spät bei der Vorinstanz eingereicht: Die Frist zur Erhebung der Beschwerde beträgt 10 Tage (Art. 321 Abs. 2 ZPO in Verbindung mit Art. 251 lit. a ZPO), was der zutreffenden Rechtsmittelbe-</w:t>
      </w:r>
    </w:p>
    <w:p>
      <w:r>
        <w:t>- 3 - lehrung im angefochtenen Entscheid entspricht (Dispositiv-Ziffer 7, Urk. 17 S. 5). Der Gesuchsgegner nahm das angefochtene Urteil in begründeter Fassung am 31. Mai 2017 entgegen (Urk. 9). Die Beschwerdefrist begann am folgenden Tag nach der Zustellung, mithin am 1. Juni 2017, zu laufen und endete am 12. Juni 2017 (vgl. Art. 142 ZPO). Gemäss Art. 143 Abs. 1 ZPO müssen Eingaben spätes- tens am letzten Tag der Frist beim Gericht eingereicht oder zu dessen Handen der Schweizerischen Post übergeben werden. Der Gesuchsgegner hat seine Be- schwerdeschrift am 15. Juni 2017 bei der Post aufgegeben (vgl. Briefumschlag zu Urk. 10). Seine Beschwerde ist somit verspätet, weshalb nicht auf sie einzutreten ist. 3.1. Der Streitwert des Beschwerdeverfahrens beträgt Fr. 9'846.60. Die zweitin- stanzliche Entscheidgebühr ist in Anwendung von Art. 48 in Verbindung mit Art. 61 Abs. 1 GebV SchKG auf Fr. 300.– festzusetzen und entsprechend dem Ausgang des Verfahrens dem Gesuchsgegner aufzuerlegen (Art. 106 Abs. 1 ZPO). 3.2. Parteientschädigungen für das Beschwerdeverfahren sind keine zuzuspre- chen: Der Gesuchstellerin sind im Beschwerdeverfahren keine entschädigungs- pflichtigen Kosten entstanden (Art. 95 Abs. 3 ZPO), der Gesuchsgegner hat auf- grund seines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