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RT170122 vom 24. August 2017</w:t>
      </w:r>
    </w:p>
    <w:p>
      <w:r>
        <w:t>ZH Obergericht, 2017-08-24, DE</w:t>
      </w:r>
    </w:p>
    <w:p>
      <w:r>
        <w:rPr>
          <w:b/>
        </w:rPr>
        <w:t xml:space="preserve">Quelle: </w:t>
      </w:r>
      <w:r>
        <w:t>https://mcp.opencaselaw.ch/entscheid/zh_obergericht_RT170122</w:t>
      </w:r>
    </w:p>
    <w:p>
      <w:r>
        <w:t>FR: ZH_OBERGERICHT RT170122 du 24 août 2017</w:t>
      </w:r>
    </w:p>
    <w:p>
      <w:r>
        <w:t>IT: ZH_OBERGERICHT RT170122 del 24 agosto 2017</w:t>
      </w:r>
    </w:p>
    <w:p>
      <w:pPr>
        <w:pStyle w:val="Heading2"/>
      </w:pPr>
      <w:r>
        <w:t>Erwägungen</w:t>
      </w:r>
    </w:p>
    <w:p>
      <w:r>
        <w:rPr>
          <w:b/>
        </w:rPr>
        <w:t>E. 27</w:t>
      </w:r>
    </w:p>
    <w:p>
      <w:r>
        <w:t>Juni 2017 der Schweizerischen Post übergeben wurde (vgl. Briefumschlag zu Urk. 11), dass die Beschwerde somit verspätet ist und daher auf sie nicht einzutreten ist, mit dem Hinweis an die Beschwerdeführerin (vgl. Urk. 11, 3. Absatz), dass Gegenstand des Rechtsöffnungsverfahrens die Prüfung der Vollstreckbarkeit der betriebenen Steuerforderung war (Urk. 12), allfällige (weitere) Ratenzahlungen je- doch ohne Gerichtsverfahren direkt beim Beschwerdegegner zu beantragen wä- ren, in der weiteren Erwägung, dass die Gerichtskosten des vorliegenden Verfahrens auf Fr. 300.– festzu- setzen und der Beschwerdeführerin aufgrund ihres Unterliegens aufzuerlegen sind (Art. 106 Abs. 1 ZPO),</w:t>
      </w:r>
    </w:p>
    <w:p>
      <w:r>
        <w:t>- 3 - dass für das Beschwerdeverfahren keine Parteientschädigungen zuzuspre- chen sind, dem Beschwerdegegner mangels Entstehens entschädigungspflichti- ger Kosten (Art. 95 Abs. 3 ZPO), der Beschwerdeführerin aufgrund ihres Unterlie- gens (Art. 106 Abs. 1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