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RT170113 vom 1. Dezember 2017</w:t>
      </w:r>
    </w:p>
    <w:p>
      <w:r>
        <w:t>ZH Obergericht, 2017-12-01, DE</w:t>
      </w:r>
    </w:p>
    <w:p>
      <w:r>
        <w:rPr>
          <w:b/>
        </w:rPr>
        <w:t xml:space="preserve">Quelle: </w:t>
      </w:r>
      <w:r>
        <w:t>https://mcp.opencaselaw.ch/entscheid/zh_obergericht_RT170113</w:t>
      </w:r>
    </w:p>
    <w:p>
      <w:r>
        <w:t>FR: ZH_OBERGERICHT RT170113 du 1 décembre 2017</w:t>
      </w:r>
    </w:p>
    <w:p>
      <w:r>
        <w:t>IT: ZH_OBERGERICHT RT170113 del 1 dicembre 2017</w:t>
      </w:r>
    </w:p>
    <w:p>
      <w:pPr>
        <w:pStyle w:val="Heading2"/>
      </w:pPr>
      <w:r>
        <w:t>Erwägungen</w:t>
      </w:r>
    </w:p>
    <w:p>
      <w:r>
        <w:rPr>
          <w:b/>
        </w:rPr>
        <w:t>E. 1</w:t>
      </w:r>
    </w:p>
    <w:p>
      <w:r>
        <w:t>Mit Urteil vom 8. April 2014 schied das Bezirksgericht Zürich die Ehe zwi- schen der Gesuchstellerin und Beschwerdeführerin (fortan Gesuchstellerin) und dem Gesuchsgegner und Beschwerdegegner (fortan Gesuchsgegner). Sie ge- nehmigte darin die Scheidungsvereinbarung der Parteien vom 3. Februar 2014, mit welcher sich der Gesuchsgegner verpflichtete, der Gesuchstellerin persönlich ab Mai 2014 bis Ende August 2022 nachehelichen Unterhalt im Sinne von Art. 125 ZGB in der Höhe von monatlich Fr. 900.– zu bezahlen (Urk. 4/3 und 12).</w:t>
      </w:r>
    </w:p>
    <w:p>
      <w:r>
        <w:rPr>
          <w:b/>
        </w:rPr>
        <w:t>E. 1.1</w:t>
      </w:r>
    </w:p>
    <w:p>
      <w:r>
        <w:t>Hinsichtlich der erstinstanzlichen Kosten verlangt die Gesuchstellerin die Neuverlegung (Urk. 20 S. 8), jedoch beanstandet sie die Entscheidgebühr nicht. Es bleibt daher bei der von der Vorinstanz festgesetzten Spruchgebühr in der Hö- he von Fr. 300.–. Diese sind zufolge seines vollumfänglichen Unterliegens dem Gesuchsgegner aufzuerlegen.</w:t>
      </w:r>
    </w:p>
    <w:p>
      <w:r>
        <w:rPr>
          <w:b/>
        </w:rPr>
        <w:t>E. 1.2</w:t>
      </w:r>
    </w:p>
    <w:p>
      <w:r>
        <w:t>Der Gesuchsgegner hat der Gesuchstellerin für das erstinstanzliche Ver- fahren eine volle Parteientschädigung zu bezahlen. Die Entschädigung ist in An- wendung von Art. 4 Abs. 1 i.V.m. Art. 9 der Verordnung des Obergerichts des Kantons Zürich über die Anwaltsgebühren (AnwGebV) auf Fr. 1'000.– zuzüglich Fr. 80.– (8 % Mehrwertsteuer), mithin Fr. 1'080.–, festzusetzen. 2. Die Gerichtskosten für das Beschwerdeverfahren sind in Anwendung von Art. 48 i.V.m. Art. 61 GebV SchKG auf Fr. 450.– festzusetzen. Ausgangsgemäss sind sie dem Gesuchsgegner aufzuerlegen (Art. 106 Abs. 1 ZPO), wobei sie vor- ab aus dem von der Gesuchstellerin geleisteten Kostenvorschuss bezogen wer- den. Der Gesuchsgegner hat der Gesuchstellerin für das zweitinstanzliche Ver- fahren zudem eine volle Parteientschädigung von Fr. 650.– zuzüglich Fr. 52.– (8 % Mehrwertsteuer), mithin Fr. 702.– zu bezahlen (§ 4 Abs. 1 i.V.m. § 9 sowie § 13 Abs. 1 und 2 AnwGebV).</w:t>
      </w:r>
    </w:p>
    <w:p>
      <w:r>
        <w:t>- 10 - Es wird erkannt:</w:t>
      </w:r>
    </w:p>
    <w:p>
      <w:r>
        <w:rPr>
          <w:b/>
        </w:rPr>
        <w:t>E. 2</w:t>
      </w:r>
    </w:p>
    <w:p>
      <w:r>
        <w:t>Gestützt auf das vorgenannte Scheidungsurteil betrieb die Gesuchstellerin den Gesuchsgegner für Unterhaltsbeiträge im Umfang von insgesamt Fr. 7'200.–. Gegen den Zahlungsbefehl vom 23. Januar 2017 des Betreibungsamts Zürich 2 (Betreibungs-Nr. …) erhob der Gesuchsgegner Rechtsvorschlag (Urk. 3). Mit Ur- teil vom 24. Mai 2017 erteilte das Bezirksgericht Zürich, Einzelgericht Audienz (fortan Vorinstanz), der Gesuchstellerin definitive Rechtsöffnung in der Höhe von Fr. 3'200.– und wies das Rechtsöffnungsbegehren im Mehrbetrag ab (Urk. 18 = Urk. 21).</w:t>
      </w:r>
    </w:p>
    <w:p>
      <w:r>
        <w:rPr>
          <w:b/>
        </w:rPr>
        <w:t>E. 2.1</w:t>
      </w:r>
    </w:p>
    <w:p>
      <w:r>
        <w:t>Die Gesuchstellerin stellt sich in ihrer Beschwerde auf den Standpunkt, die Vorinstanz lege die Konkubinatsklausel in irritierender Weise völlig falsch aus (Urk. 20 S. 3). Der Begriff des Konkubinats werde in der Klausel der Scheidungs- vereinbarung nicht bestimmt. Unter einem Konkubinat sei eine auf längere Zeit, wenn nicht auf Dauer angelegte umfassende Lebensgemeinschaft zweier Perso- nen unterschiedlichen Geschlechts mit grundsätzlichem Ausschliesslichkeitscha- rakter zu verstehen, die sowohl eine geistig-seelische, als auch eine körperliche und wirtschaftliche Komponente aufweise. Dieses Verständnis hätten die Parteien</w:t>
      </w:r>
    </w:p>
    <w:p>
      <w:r>
        <w:t>- 5 - bei Abschluss der Scheidungsvereinbarung gehabt, was sich nicht zuletzt auch aus Abschnitt 2 der in Frage stehenden Konkubinatsklausel ergebe, wo ausdrück- lich von einer eheähnlichen Lebensgemeinschaft die Rede sei (Urk. 20 S. 4 f.). Die Vorinstanz gehe nun davon aus, dass wegen der Wortwahl im ersten Ab- schnitt der Konkubinatsklausel ein Zusammenleben mit einer anderen erwachse- nen Person für die Reduktion der Unterhaltsbeiträge bereits genüge. Die von der Vorinstanz vertretene Auffassung sei nicht nur unzutreffend, sondern völlig le- bensfremd. Aus dem gesamten Zusammenhang und namentlich auch aus dem Titel "Konkubinatsklausel" ergebe sich unmissverständlich, dass nicht jedes Zu- sammenleben mit einer anderen erwachsenen Person, sondern eben nur eine eheähnliche Lebensgemeinschaft zu einer Reduktion und später zum Wegfall der Unterhaltsbeiträge führe. Die Parteien hätten im Zeitpunkt der Scheidungskonven- tion genau dies und nichts anderes vereinbaren wollen. Entgegen der Ansicht der Vorinstanz sei die Klausel keineswegs klar im Sinne ihrer Auslegung. Dies gelte umso mehr, als die Gesuchstellerin, wie sich unschwer dem Rubrum des Schei- dungsurteils entnehmen lasse, bereits im Zeitpunkt der Scheidung in Untermiete bei D._____ gewohnt habe. Eine korrekte Auslegung der Konkubinatsklausel könne deshalb nur zum Schluss führen, dass ein Zusammenleben der Gesuch- stellerin mit einer anderen erwachsenen Person aber ohne Lebensgemeinschaft, also etwa wie vorliegend in Untermiete, keine Auswirkungen auf die Höhe der Un- terhaltsbeiträge habe (Urk. 20 S. 6 f.). Entgegen der ziemlich lebensfremdem Auf- fassung der Vorinstanz könne aus der Abkürzung "c/o" im Übrigen nicht ge- schlossen werden, dass eine Person mit einer anderen Person zusammenwohne. Die Abkürzung ermögliche lediglich die postalische Zustellung an Empfänger, die keinen eigenen Briefkasten hätten. Dasselbe gelte für den Umstand, dass zwei Personen an der gleichen Adresse gemeldet seien. Namentlich sei daraus nicht ersichtlich, ob tatsächlich die gleiche Wohnung bewohnt werde, und es liessen sich daraus generell keine Rückschlüsse auf die Wohnverhältnisse ziehen (Urk. 20 S. 7)</w:t>
      </w:r>
    </w:p>
    <w:p>
      <w:r>
        <w:rPr>
          <w:b/>
        </w:rPr>
        <w:t>E. 2.2</w:t>
      </w:r>
    </w:p>
    <w:p>
      <w:r>
        <w:t>Der Gesuchsgegner bringt in der Beschwerdeantwort vor, die Gesuchstel- lerin wohne seit der Trennung in der Wohnung von D._____. Dieser habe seinen Lebensmittelpunkt an der E._____-Strasse … in Zürich. Er halte sich lediglich je-</w:t>
      </w:r>
    </w:p>
    <w:p>
      <w:r>
        <w:t>- 6 - weils am Mittwoch bei seiner Freundin in F._____ auf (Urk. 29 S. 2). Zur Frage der Auslegung der Konkubinatsklausel äussert sich der Gesuchsgegner nicht wei- ter.</w:t>
      </w:r>
    </w:p>
    <w:p>
      <w:r>
        <w:rPr>
          <w:b/>
        </w:rPr>
        <w:t>E. 3</w:t>
      </w:r>
    </w:p>
    <w:p>
      <w:r>
        <w:t>Die Gesuchstellerin erhob mit Eingabe vom 23. Juni 2017 rechtzeitig (Urk. 19a) Beschwerde gegen den vorinstanzlichen Entscheid und stellte dabei die folgenden Anträge (Urk. 20 S. 2): "Das Urteil des Bezirksgerichtes Zürich, Audienz, vom 24. Mai 2017 (Geschäfts-Nr. EB170511) sei aufzuheben und es sei der Beschwer- deführerin in der Betreibung Nr. … des Betreibungsamtes Zürich 2 (Zahlungsbefehl vom 23. Januar 2017) über den gesamten Betrag von Fr. 7'200.– definitive Rechtsöffnung zu erteilen; unter Kosten- und Entschädigungsfolgen (zuz. 8 % MwSt) zu Lasten des Beklagten und Gesuchsgegners."</w:t>
      </w:r>
    </w:p>
    <w:p>
      <w:r>
        <w:rPr>
          <w:b/>
        </w:rPr>
        <w:t>E. 3.1</w:t>
      </w:r>
    </w:p>
    <w:p>
      <w:r>
        <w:t>Die Gesuchstellerin wehrt sich gegen das Resultat der vorinstanzlichen Auslegung von Dispositiv-Ziffer 2./2.b) des Scheidungsurteils vom 8. April 2014 (Urk. 12), mit welcher Ziffer 2.b) der zwischen den Parteien am 3. Februar 2014 geschlossenen Scheidungsvereinbarung genehmigt wurde. Die Auslegung einer Scheidungskonvention erfolgt nach den allgemeinen Kriterien der Vertragsausle- gung (BGer 5A_895/2014 vom 6. Mai 2015, E. 4.4.2.; BGer 5A_493/2011 vom 12. Dezember 2011, E. 2; BGer 5C.270/2004 vom 14. Juli 2005, E. 5.3.). Somit ist vorab der subjektive Parteiwille zu ermitteln. Falls dieser nicht ermittelt werden kann, ist eine objektivierte Auslegung anhand des Vertrauensprinzips vorzuneh- men (BGer 5A_895/2014 vom 6. Mai 2015, E. 4.4.2.). Gemäss Art. 18 Abs. 1 OR bestimmt sich der Inhalt eines Vertrags nach dem übereinstimmenden wirklichen Willen der Parteien. Die empirische oder subjektive Auslegung hat gegenüber der normativen oder objektiven Vertragsauslegung den Vorrang. Wenn der überein- stimmende wirkliche Wille der Parteien unbewiesen bleibt, sind zur Ermittlung des mutmasslichen Parteiwillens die Erklärungen der Parteien aufgrund des Ver- trauensprinzips so auszulegen, wie sie nach ihrem Wortlaut und Zusammenhang sowie den gesamten Umständen verstanden werden durften und mussten (BGE 138 III 659 E. 4.2.1.). Dabei ist vom Wortlaut der Erklärungen auszugehen, wel- cher jedoch nicht isoliert, sondern aus dem konkreten Sinngefüge heraus zu beur- teilen ist. Das Gericht hat zu berücksichtigen, was sachgerecht ist, weil nicht an- zunehmen ist, dass die Parteien eine unangemessene Lösung gewollt haben (BGE 122 III 420, E. 3a). Die Auslegung nach dem Vertrauensprinzip stellt eine Rechtsfrage dar und kann auch im Rechtsöffnungsverfahren vorgenommen wer- den (BGer 5A_235/2013 vom 24. Juli 2013, E. 3.1; OGer ZH RT150171 vom 05.02.2016, E. 6.2; OGer ZH RT140078 vom 10.02.2015, E. II/4).</w:t>
      </w:r>
    </w:p>
    <w:p>
      <w:r>
        <w:rPr>
          <w:b/>
        </w:rPr>
        <w:t>E. 3.2</w:t>
      </w:r>
    </w:p>
    <w:p>
      <w:r>
        <w:t>Damit ist die Ehescheidungskonvention für die vorliegend strittige Frage nach dem mutmasslichen Willen der Parteien auszulegen. Strittig ist die Frage, ob eine Reduktion der vom Gesuchsgegner zu leistenden Unterhaltsbeiträge nach</w:t>
      </w:r>
    </w:p>
    <w:p>
      <w:r>
        <w:t>- 7 - Abschnitt 1 der vorstehend zitierten Konkubinatsklausel ein Zusammenleben in Form eines Konkubinats im Sinne einer eheähnlichen Gemeinschaft bedingt oder ob bereits ein Zusammenleben in Wohngemeinschaft unter Teilung der üblichen Fixkosten über eine Zeitdauer von mehr als einem halben Jahr für eine Reduktion der Unterhaltsbeiträge genügt. Abzustellen ist auf das Verständnis der Parteien zum Zeitpunkt des Abschlusses der Scheidungskonvention. Diesbezüglich gilt vorab festzuhalten, dass die entsprechende Klausel 2.b) der Scheidungsvereinba- rung vom 3. Februar 2014 die Überschrift "Konkubinatsklausel" trägt. Bereits die Überschrift impliziert damit, dass die Parteien im Zeitpunkt des Abschlusses der Scheidungsvereinbarung im Grunde eine Regelung treffen wollten für den Fall, dass die Gesuchstellerin dereinst mit einem neuen Lebensabschnittspartner in eheähnlicher Gemeinschaft zusammenleben wird. Dass davon eine allfällige Wohngemeinschaft mit D._____ nicht erfasst sein kann, ergibt sich – wie die Ge- suchstellerin zu Recht vorbringt (Urk. 20 S. 6) – bereits aus dem Umstand, dass die Adresse der Gesuchstellerin im Scheidungsurteil mit "c/o D._____, E._____- Strasse …, … Zürich" aufgeführt ist (Urk. 12). Damit hätte eine allfällige Wohn- gemeinschaft der Gesuchstellerin mit D._____ im Scheidungsverfahren von vorn- herein bei der Berechnung der vom Gesuchsgegner zu leistenden Unterhaltsbei- träge mit Blick auf den im Bedarf der Gesuchstellerin anzurechnenden Grundbe- trag sowie die Fixkosten Berücksichtigung finden müssen. Andernfalls wäre da- von auszugehen, dass – wie die Gesuchstellerin geltend macht (Prot. I S. 4, Urk. 20 S. 7) – es sich lediglich um ein Untermietverhältnis handelt, dass durch die Anschrift der Gesuchstellerin mit "c/o" gekennzeichnet ist. Dass – wie der Ge- suchsgegner vor Vorinstanz vorbrachte (Urk. 14 S. 1) – die Gesuchstellerin schon während des laufenden Scheidungsverfahrens an der Adresse von D._____ wohnhaft gewesen sein soll, spricht jedenfalls dafür, dass die Parteien mit Ab- schnitt 1 der Konkubinatsklausel gerade nicht auf die aktuelle Wohnsituation der Gesuchstellerin Bezug nehmen wollten, andernfalls sich Abschnitt 1 der Klausel erübrigt hätte, wohnte die Gesuchstellerin doch offenbar seit der Trennung und damit im Scheidungszeitpunkt bereits über ein halbes Jahr bei oder mit D._____ zusammen (Urk. 12, Urk. 14 S. 1). Viel naheliegender scheint es, dass die Partei- en im Zeitpunkt der Vereinbarung von einem mindestens sechs Monate andau-</w:t>
      </w:r>
    </w:p>
    <w:p>
      <w:r>
        <w:t>- 8 - ernden Zusammenleben mit einer erwachsenen Person im Sinne eines Konkubi- nats ausgehen bzw. den Fall regeln wollten, falls die Gesuchstellerin dereinst für längere Zeit mit einem neuen Partner in Beziehung leben würde. Nichts anderes ergibt sich aus Abschnitt 2 der Konkubinatsklausel, wonach die Unterhaltspflicht gänzlich entfällt, wenn "die eheähnliche Lebensgemeinschaft länger als 5 Jahre" dauert. Gestützt auf die gewählte Formulierung nimmt Abschnitt 2 Bezug auf Ab- schnitt 1 der Klausel und legt die Mindestdauer des Konkubinats fest, damit die Unterhaltspflicht nicht nur reduziert wird, sondern letztlich ganz entfällt. Die von den Parteien getroffene Konkubinatsklausel lässt keinen anderen Schluss zu, als dass auch für eine Reduktion der Unterhaltspflicht das Zusammenleben der Ge- suchstellerin in einem Konkubinat Voraussetzung ist. Wie die Vorinstanz zu Recht festhielt, wurde ein Konkubinat zwischen der Gesuchstellerin und D._____ weder behauptet noch belegt (Urk. 21 S. 4). Im Gegenteil räumt der Gesuchsgegner im Beschwerdeverfahren ein, dass D._____ sich angeblich regelmässig bei seiner Freundin in F._____ aufhalte (Urk. 29 S. 2).</w:t>
      </w:r>
    </w:p>
    <w:p>
      <w:r>
        <w:rPr>
          <w:b/>
        </w:rPr>
        <w:t>E. 4</w:t>
      </w:r>
    </w:p>
    <w:p>
      <w:r>
        <w:t>Beruht die Forderung auf einem vollstreckbaren Entscheid eines schweize- rischen Gerichts oder einer schweizerischen Verwaltungsbehörde (was vorliegend unbestrittenermassen zutrifft), so wird die definitive Rechtsöffnung erteilt, wenn nicht der Betriebene durch Urkunden beweist, dass die Schuld seit Erlass des Entscheides getilgt oder gestundet worden ist, oder die Verjährung anruft (Art. 81 Abs. 1 SchKG). Die materielle Rechtslage muss mithin auf der Hand liegen, mani- fest sein. Die richterliche Kognition ist auf liquide Tatsachen und den Urkunden- beweis beschränkt (BGE 140 III 41 E. 3.3.2). Wie bereits die Vorinstanz zutref- fend festhielt, kann der Schuldner die Rechtsöffnung auch zu Fall bringen, wenn die Zahlungspflicht von einer Resolutivbedingung abhängt und er durch Urkunden beweist, dass die Bedingung eingetreten ist. Kein Urkundenbeweis ist erforder- lich, wenn der Gläubiger den Eintritt der Bedingung anerkennt oder wenn er ge- richtsnotorisch ist (BGer 5A_533/2017 vom 23. Oktober 2017, E. 4.2.2.; BGer 5A_487/2011 vom 2. September 2011, E. 3.2.). Wie vorstehend dargelegt (vgl. E. III.3.2.) ist vorliegend die Resolutivbedingung nicht eingetreten, wurde vom Gesuchsgegner doch weder behauptet noch liquide bewiesen, dass die Gesuch- stellerin und D._____ im Sinne eines Konkubinats zusammenleben würden. Der</w:t>
      </w:r>
    </w:p>
    <w:p>
      <w:r>
        <w:t>- 9 - Gesuchsgegner hat vor Vorinstanz im Übrigen die Behauptung der Gesuchstelle- rin, es liege ein blosses Untermietsverhältnis vor, unbestritten gelassen (Prot. I S. 4). Entsprechend ist festzuhalten, dass ein Rechtsöffnungstitel im Sinne von Art. 80 Abs. 1 SchKG vorliegt und die von der Gesuchstellerin geltend gemacht Forderung für den Zeitraum von Juni 2016 bis Januar 2017 im Umfang von Fr. 7'200.– ausgewiesen ist. In Gutheissung der Beschwerde ist ihr damit definiti- ve Rechtsöffnung für Fr. 7'200.– zu erteilen.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