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RT170106 vom 26. Juni 2017</w:t>
      </w:r>
    </w:p>
    <w:p>
      <w:r>
        <w:t>ZH Obergericht, 2017-06-26, DE</w:t>
      </w:r>
    </w:p>
    <w:p>
      <w:r>
        <w:rPr>
          <w:b/>
        </w:rPr>
        <w:t xml:space="preserve">Quelle: </w:t>
      </w:r>
      <w:r>
        <w:t>https://mcp.opencaselaw.ch/entscheid/zh_obergericht_RT170106</w:t>
      </w:r>
    </w:p>
    <w:p>
      <w:r>
        <w:t>FR: ZH_OBERGERICHT RT170106 du 26 juin 2017</w:t>
      </w:r>
    </w:p>
    <w:p>
      <w:r>
        <w:t>IT: ZH_OBERGERICHT RT170106 del 26 giugno 2017</w:t>
      </w:r>
    </w:p>
    <w:p>
      <w:pPr>
        <w:pStyle w:val="Heading2"/>
      </w:pPr>
      <w:r>
        <w:t>Erwägungen</w:t>
      </w:r>
    </w:p>
    <w:p>
      <w:r>
        <w:rPr>
          <w:b/>
        </w:rPr>
        <w:t>E. 1</w:t>
      </w:r>
    </w:p>
    <w:p>
      <w:r>
        <w:t>a) Mit Urteil vom 30. Mai 2017 erteilte das Bezirksgericht Bülach (Vorinstanz) der Klägerin in der Betreibung Nr. … des Betreibungsamts C._____ (Zahlungsbefehl vom 8. November 2016) – gestützt auf ein Scheidungsurteil für bevorschusste Unterhaltsbeiträge von August 2008 bis Mai 2013 – definitive Rechtsöffnung für Fr. 15'183.55 nebst 5% Zins seit 8. November 2016; die Kos- ten- und Entschädigungsfolgen wurden zu Lasten des Beklagten geregelt (Urk. 18 = Urk. 21). b) Hiergegen hat der Beklagte am 14. Juni 2017 fristgerecht (Urk. 19) Be- schwerde erhoben und stellt sinngemäss den Beschwerdeantrag (Urk. 20): Es sei das angefochtene Urteil aufzuheben und die Rechtsöffnung nicht zu erteilen. c) Die vorinstanzlichen Akten wurden beigezogen. Da sich die Beschwer- de sogleich als unbegründet erweist, kann auf die Einholung einer Beschwerde- antwort verzichtet werden (Art. 322 Abs. 1 ZPO).</w:t>
      </w:r>
    </w:p>
    <w:p>
      <w:r>
        <w:rPr>
          <w:b/>
        </w:rPr>
        <w:t>E. 2</w:t>
      </w:r>
    </w:p>
    <w:p>
      <w:r>
        <w:t>Juni 2008 inhaltlich falsch sei, jedoch könne dies das Rechtsöffnungsgericht</w:t>
      </w:r>
    </w:p>
    <w:p>
      <w:r>
        <w:t>- 3 - nicht überprüfen; dies wäre in einem allfälligen Abänderungsverfahren geltend zu machen. Die Forderung sei sodann durch die eingereichten Urkunden ausgewie- sen und bei der Zustellung des Zahlungsbefehls fällig gewesen. Es sei daher die definitive Rechtsöffnung zu erteilen (Urk. 21 S. 3-5).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Der Beklagte macht in seiner Beschwerde im Wesentlichen geltend, seit 10 Jahren sei sein Lohn gepfändet und es seien so Schulden von mehr als Fr. 90'000.-- entstanden; dies zeige, dass die Berechnungen des Scheidungsur- teils nicht stimmen könnten. Er habe auch erfahren, dass ein Dritter der Vater des ersten Kindes sein solle und seine Ex-Frau von diesem unter der Hand Geld er- halte. Seine Ex-Frau habe aus einer Erbschaft in der Türkei sodann sicher über Fr. 100'000.-- erhalten, verschweige dies aber gegenüber dem Sozialamt; sie ma- che auch Ferien an den teuersten Orten in der Türkei. Sobald er von seinen Ver- sicherungen sämtliche Abrechnungen habe, werde es ihm möglich sein, eine rückwirkende Abänderung des Scheidungsurteils zu bewirken (Urk. 20). d) Alle diese Beschwerdevorbringen gehen dahin, dass die im Schei- dungsurteil vom 2. Juni 2008 (Urk. 4/2) festgesetzten Unterhaltsbeiträge – welche Gegenstand der vorliegenden Betreibung bilden – den tatsächlichen Gegebenhei- ten nicht bzw. nicht mehr entsprechen würden, d.h. zu hoch seien. Wie jedoch schon die Vorinstanz korrekt dargelegt hat (Urk. 21 S. 5-6), darf das Rechtsöff- nungsgericht nicht überprüfen, ob gerichtlich festgesetzte Unterhaltsbeiträge an- gemessen sind oder nicht; diese Prüfung ist im Rahmen des Scheidungsverfah- rens erfolgt. Im Rechtsöffnungsverfahren geht es nur noch um die Vollstreckung des rechtskräftigen Scheidungsurteils vom 2. Juni 2008 und das Rechtsöffnungs- gericht ist nicht befugt, die darin festgesetzten Unterhaltsbeiträge (noch einmal) zu überprüfen. Solange diese nicht durch einen rechtskräftigen Entscheid eines</w:t>
      </w:r>
    </w:p>
    <w:p>
      <w:r>
        <w:t>- 4 - ordentlichen Gerichts abgeändert werden, sind sie vom Rechtsöffnungsgericht zu vollstrecken, d.h. ist die Rechtsöffnung zu erteilen. Ob und inwieweit der Beklagte in der Lage ist, die betriebenen Forderungen zu bezahlen, darf ebenso nicht im Rechtsöffnungsverfahren geprüft werden; das ihm zu belassende Existenzmini- mum wird erst im Rahmen des Pfändungsvollzugs zu berücksichtigen sein (Art. 92 und 93 SchKG). Die Vorinstanz hat das Recht korrekt angewendet. e) Nach dem Gesagten erweist sich die Beschwerde des Beklagten als unbegründet; sie ist demgemäss abzuweisen.</w:t>
      </w:r>
    </w:p>
    <w:p>
      <w:r>
        <w:rPr>
          <w:b/>
        </w:rPr>
        <w:t>E. 3</w:t>
      </w:r>
    </w:p>
    <w:p>
      <w:r>
        <w:t>a) Der Streitwert für das Beschwerdeverfahren beträgt Fr. 15'183.55. Die zweitinstanzliche Entscheidgebühr ist in Anwendung von Art. 48 i.V.m. Art. 61 Abs. 1 GebV SchKG auf Fr. 300.-- festzusetzen. b) Die Gerichtskosten des Beschwerdeverfahrens sind ausgangsgemäss dem unterliegenden Beklagten aufzuerlegen (Art. 106 Abs. 1 ZPO). c) Der Beklagte hat kein Gesuch um unentgeltliche Rechtspflege gestellt (Urk. 20). Aber auch wenn seine Ausführungen betreffend seine finanziellen Ver- hältnisse als sinngemässes Armenrechtsgesuch anzusehen wären, wäre dassel- be abzuweisen. Der Anspruch auf unentgeltliche Rechtspflege setzt neben der Mittellosigkeit auch voraus, dass die Rechtsbegehren nicht aussichtslos erschei- nen (Art. 117 lit. b ZPO); die Beschwerde des Beklagten ist jedoch als aus- sichtslos anzusehen (vgl. vorstehende Erwägungen). d) Für das Beschwerdeverfahren sind keine Parteientschädigungen zuzu- sprechen, dem Beklagten zufolge seines Unterliegens, der Klägerin mangels rele- 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