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RT170070 vom 6. Dezember 2017</w:t>
      </w:r>
    </w:p>
    <w:p>
      <w:r>
        <w:t>ZH Obergericht, 2017-12-06, DE</w:t>
      </w:r>
    </w:p>
    <w:p>
      <w:r>
        <w:rPr>
          <w:b/>
        </w:rPr>
        <w:t xml:space="preserve">Quelle: </w:t>
      </w:r>
      <w:r>
        <w:t>https://mcp.opencaselaw.ch/entscheid/zh_obergericht_RT170070</w:t>
      </w:r>
    </w:p>
    <w:p>
      <w:r>
        <w:t>FR: ZH_OBERGERICHT RT170070 du 6 décembre 2017</w:t>
      </w:r>
    </w:p>
    <w:p>
      <w:r>
        <w:t>IT: ZH_OBERGERICHT RT170070 del 6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Klägerin und Beschwerdeführerin (fortan Klägerin) betrieb den Beklag- ten und Beschwerdegegner (fortan Beklagter) in der Betreibung Nr. … des Betrei- bungsamtes Wallisellen-Dietlikon, Zahlungsbefehl vom 2. Mai 2016, für den Be- trag von Fr. 205'141.05 nebst Zins (Darlehensvereinbarung zwischen A._____ und D._____ vom 11. November 2013) sowie für den Betrag von Fr. 31'800.– nebst Zins (Kaufvertrag zwischen den vorgenannten vom 8. Oktober 2010; vgl. Urk. 3). Der Beklagte erhob in dieser Betreibung Rechtsvorschlag mangels neuen Vermögens.</w:t>
      </w:r>
    </w:p>
    <w:p>
      <w:r>
        <w:rPr>
          <w:b/>
        </w:rPr>
        <w:t>E. 2</w:t>
      </w:r>
    </w:p>
    <w:p>
      <w:r>
        <w:t>Mit Verfügung und Urteil des Bezirksgerichts Bülach vom 9. Dezember 2016 wurde der Rechtsvorschlag mangels neuen Vermögens im Umfang von Fr. 31'800.– bewilligt, im Restumfang erging ein Nichteintretensentscheid (Urk. 4/2 Disp. Ziff. 1). Der Beklagte erhob gegen den Nichteintretensentscheid die Beschwerde an das Obergericht (siehe Urk. 19).</w:t>
      </w:r>
    </w:p>
    <w:p>
      <w:r>
        <w:rPr>
          <w:b/>
        </w:rPr>
        <w:t>E. 3</w:t>
      </w:r>
    </w:p>
    <w:p>
      <w:r>
        <w:t>Mit Eingabe vom 15. Dezember 2016 stellte die Klägerin bei der Vorinstanz ein Gesuch um Erteilung der provisorischen Rechtsöffnung in der genannten Be- treibung für den Betrag von Fr. 205'141.05 nebst Zinsen sowie unter Kosten- und Entschädigungsfolgen (Urk. 1). Mit Urteil vom 22. März 2017 erliess die Vor- instanz folgenden Entscheid (Urk. 23):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