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RT170041 vom 15. März 2017</w:t>
      </w:r>
    </w:p>
    <w:p>
      <w:r>
        <w:t>ZH Obergericht, 2017-03-15, DE</w:t>
      </w:r>
    </w:p>
    <w:p>
      <w:r>
        <w:rPr>
          <w:b/>
        </w:rPr>
        <w:t xml:space="preserve">Quelle: </w:t>
      </w:r>
      <w:r>
        <w:t>https://mcp.opencaselaw.ch/entscheid/zh_obergericht_RT170041</w:t>
      </w:r>
    </w:p>
    <w:p>
      <w:r>
        <w:t>FR: ZH_OBERGERICHT RT170041 du 15 mars 2017</w:t>
      </w:r>
    </w:p>
    <w:p>
      <w:r>
        <w:t>IT: ZH_OBERGERICHT RT170041 del 15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10. Januar 2017 erteilte das Bezirksgericht Hinwil (Vorinstanz) der Gesuchstellerin in der Betreibung Nr. 1 des Betreibungsamts Rüti ZH (Zahlungsbefehl vom 17. Oktober 2016) – gestützt auf eine Schuldanerken- nung betreffend Betonlieferungen – provisorische Rechtsöffnung für den Gesamt- betrag von Fr. 2'936.90, aufgegliedert wie nachfolgend: – Zins von 5% auf Fr. 898.95 seit 24. August 2014 bis 31. Juli 2016; – Zins von 5% auf Fr. 10'700.55 seit 27. September 2014 bis 31. Juli 2016; – Zins von 5% auf Fr. 382.10 seit 27. September 2014 bis 31. Juli 2016; – Zins von 5% auf Fr. 1'339.20 seit 27. September 2014 bis 31. Juli 2016; – Zins von 5% auf Fr. 1'220.40 seit 25. Oktober 2014 bis 31. Juli 2016; – Zins von 5% auf Fr. 3'507.50 seit 25. Oktober 2014 bis 31. Juli 2016; – Zins von 5% auf Fr. 158.35 seit 25. Oktober 2014 bis 31. Juli 2016; – Zins von 5% auf Fr. 5'811.30 seit 25. November 2014 bis 31. Juli 2016; – Zins von 5% auf Fr. 1'456.50 seit 25. November 2014 bis 31. Juli 2016; – Zins von 5% auf Fr. 7'558.75 seit 26. Dezember 2014 bis 31. Juli 2016; – Zins von 5% auf Fr. 727.05 seit 26. Dezember 2014 bis 31. Juli 2016; und für die Betreibungskosten sowie Kosten und Entschädigung gemäss diesem Entscheid (Urk. 9 = Urk. 12): b) Hiergegen hat die Gesuchsgegnerin am 17. Februar 2017 fristgerecht (Urk. 10) Beschwerde erhoben und stellt die Beschwerdeanträge (Urk. 11 S. 2): "1. Das Urteil des Bezirksgerichts Hinwil, Einzelgericht im summarischen Verfahren, vom 10. Januar 2017 (EB160345) sei aufzuheben.</w:t>
      </w:r>
    </w:p>
    <w:p>
      <w:r>
        <w:rPr>
          <w:b/>
        </w:rPr>
        <w:t>E. 2</w:t>
      </w:r>
    </w:p>
    <w:p>
      <w:r>
        <w:t>Die der Beschwerdegegnerin in der Betreibung Nr. 1 des Betreibungs- amtes Rüti ZH (Zahlungsbefehl vom 17. Oktober 2016) erteilte proviso- rische Rechtsöffnung für den Betrag von Fr. 2'936.90, aufgeteilt wie nachfolgend: – Zins von 5% auf Fr. 898.95 seit 24. August 2014 bis 31. Juli 2016; – Zins von 5% auf Fr. 10'700.55 seit 27. September 2014 bis 31. Juli 2016; – Zins von 5% auf Fr. 382.10 seit 27. September 2014 bis 31. Juli 2016; – Zins von 5% auf Fr. 1'339.20 seit 27. September 2014 bis 31. Juli 2016; – Zins von 5% auf Fr. 1'220.40 seit 25. Oktober 2014 bis 31. Juli 2016; – Zins von 5% auf Fr. 3'507.50 seit 25. Oktober 2014 bis 31. Juli 2016; – Zins von 5% auf Fr. 158.35 seit 25. Oktober 2014 bis 31. Juli 2016; – Zins von 5% auf Fr. 5'811.30 seit 25. November 2014 bis 31. Juli 2016; – Zins von 5% auf Fr. 1'456.50 seit 25. November 2014 bis 31. Juli 2016; – Zins von 5% auf Fr. 7'558.75 seit 26. Dezember 2014 bis 31. Juli 2016; – Zins von 5% auf Fr. 727.05 seit 26. Dezember 2014 bis 31. Juli 2016; und die Betreibungskosten sowie Kosten und Entschädigung gemäss Ziffern 2 bis 4 des Urteils sei aufzuheben bzw. es sei der Beschwerde- gegnerin die Rechtsöffnung zu verweigern.</w:t>
      </w:r>
    </w:p>
    <w:p>
      <w:r>
        <w:t>- 3 -</w:t>
      </w:r>
    </w:p>
    <w:p>
      <w:r>
        <w:rPr>
          <w:b/>
        </w:rPr>
        <w:t>E. 3</w:t>
      </w:r>
    </w:p>
    <w:p>
      <w:r>
        <w:t>a) Der Streitwert im Beschwerdeverfahren beträgt Fr. 2'936.90. Die zweitinstanzliche Entscheidgebühr ist in Anwendung von Art. 48 i.V.m. Art. 61 Abs. 1 GebV SchKG auf Fr. 200.-- festzusetzen. b) Die Gerichtskosten des Beschwerdeverfahrens sind ausgangsgemäss der Gesuchsgegnerin aufzuerlegen (Art. 106 Abs. 1 ZPO). c) Für das Beschwerdeverfahren sind keine Parteientschädigungen zuzu- sprechen, der Gesuchsgegnerin zufolge ihres Unterliegens, der Gesuchstellerin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