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RT170010 vom 7. Februar 2017</w:t>
      </w:r>
    </w:p>
    <w:p>
      <w:r>
        <w:t>ZH Obergericht, 2017-02-07, DE</w:t>
      </w:r>
    </w:p>
    <w:p>
      <w:r>
        <w:rPr>
          <w:b/>
        </w:rPr>
        <w:t xml:space="preserve">Quelle: </w:t>
      </w:r>
      <w:r>
        <w:t>https://mcp.opencaselaw.ch/entscheid/zh_obergericht_RT170010</w:t>
      </w:r>
    </w:p>
    <w:p>
      <w:r>
        <w:t>FR: ZH_OBERGERICHT RT170010 du 7 février 2017</w:t>
      </w:r>
    </w:p>
    <w:p>
      <w:r>
        <w:t>IT: ZH_OBERGERICHT RT170010 del 7 febbraio 2017</w:t>
      </w:r>
    </w:p>
    <w:p>
      <w:pPr>
        <w:pStyle w:val="Heading2"/>
      </w:pPr>
      <w:r>
        <w:t>Erwägungen</w:t>
      </w:r>
    </w:p>
    <w:p>
      <w:r>
        <w:rPr>
          <w:b/>
        </w:rPr>
        <w:t>E. 1</w:t>
      </w:r>
    </w:p>
    <w:p>
      <w:r>
        <w:t>Mit Urteil vom 21. Dezember 2016 wies der Vorderrichter das Rechts- öffnungsbegehren der Gesuchstellerin und Beschwerdeführerin (fortan Gesuch- stellerin) in der Betreibung Nr. … des Betreibungsamtes Dietikon, Zahlungsbefehl vom 11. November 2016, ab (Urk. 7).</w:t>
      </w:r>
    </w:p>
    <w:p>
      <w:r>
        <w:rPr>
          <w:b/>
        </w:rPr>
        <w:t>E. 2</w:t>
      </w:r>
    </w:p>
    <w:p>
      <w:r>
        <w:t>Mit als Beschwerde/Einsprache bezeichneter Eingabe vom 13. Januar 2017 erhob die Gesuchstellerin rechtzeitig (Urk. 5a) Beschwerde gegen das er- wähnte Urteil. Dabei stellte sie folgende Anträge (Urk. 6 S. 1): "- Gesuch um provisorische Rechtsöffnung (Forderung ausstehende Betriebskosten, Betreibungskosten plus Verzugszinsen.) - Spruchgebühr von CHF 150.00 auf Gesuchstellerin - Entscheid vom 21.12.2016 ist aufzuheben"</w:t>
      </w:r>
    </w:p>
    <w:p>
      <w:r>
        <w:rPr>
          <w:b/>
        </w:rPr>
        <w:t>E. 3</w:t>
      </w:r>
    </w:p>
    <w:p>
      <w:r>
        <w:t>Die vorinstanzlichen Akten wurden beigezogen (Urk. 1-5). Da sich die Beschwerde - wie sogleich zu zeigen sein wird - als offensichtlich unzulässig er- weist, kann auf das Einholen einer Beschwerdeantwort des Gesuchsgegners und Beschwerdegegners (fortan Gesuchsgegner) verzichtet werden (Art. 322 Abs. 1 ZPO).</w:t>
      </w:r>
    </w:p>
    <w:p>
      <w:r>
        <w:rPr>
          <w:b/>
        </w:rPr>
        <w:t>E. 4</w:t>
      </w:r>
    </w:p>
    <w:p>
      <w:r>
        <w:t>Mit der Beschwerde können unrichtige Rechtsanwendung und offen- sichtlich unrichtige Feststellung des Sachverhalts geltend gemacht werden (Art. 320 ZPO). Im Beschwerdeverfahren gilt das Rügeprinzip (ZK ZPO-Freiburg- haus/Afheldt, Art. 321 ZPO N 15), das heisst die Beschwerde führende Partei hat im Einzelnen darzulegen, an welchen Mängeln (unrichtige Rechtsanwendung, of- fensichtlich unrichtige Feststellung des Sachverhalts) der angefochtene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w:t>
      </w:r>
    </w:p>
    <w:p>
      <w:r>
        <w:rPr>
          <w:b/>
        </w:rPr>
        <w:t>E. 5</w:t>
      </w:r>
    </w:p>
    <w:p>
      <w:r>
        <w:t>Die Vorinstanz wies das Rechtsöffnungsbegehren der Gesuchstellerin mit der Begründung ab, dass kein genügender Rechtsöffnungstitel vorgelegt wor-</w:t>
      </w:r>
    </w:p>
    <w:p>
      <w:r>
        <w:t>- 3 - den sei. Insbesondere stelle der ins Recht gelegte Dienstbarkeitsvertrag zwischen der C._____ AG und dem Gesuchsgegner und seiner Ehefrau kein genügender Rechtsöffnungstitel im Sinne von Art. 82 Abs. 1 SchKG dar, da es ihm (mindes- tens) an der Voraussetzung der bestimmten oder leicht bestimmbaren Forde- rungssumme mangle. Zwar enthalte der Vertrag die Vereinbarung, dass der Ge- suchsgegner einen Siebtel an die Unterhalts- und Erneuerungskosten beizutragen habe, jedoch sei weder ein genauer Forderungsbetrag enthalten noch verweise er im Sinne eines zusammengesetzten Rechtsöffnungstitels auf ein anderes Schrift- stück, welches die Schuld betragsmässig ausweise (Urk. 7 S. 3). Eine andere öf- fentlich beurkundete oder durch Unterschrift bekräftigte Schuldanerkennung rei- che die Gesuchstellerin ferner nicht ein. Insbesondere stellten weder die Eigen- tümerkonto-Auszüge noch die Betriebskostenabrechnung vom 4. Februar 2016 oder die Aufstellung über die Akontozahlungen 2015 der Stockwerkeigentümer eine solche Schuldanerkennung im Sinne von Art. 82 Abs. 1 SchKG dar (Urk. 7 S. 3).</w:t>
      </w:r>
    </w:p>
    <w:p>
      <w:r>
        <w:rPr>
          <w:b/>
        </w:rPr>
        <w:t>E. 6</w:t>
      </w:r>
    </w:p>
    <w:p>
      <w:r>
        <w:t>Die Gesuchstellerin bringt im Beschwerdeverfahren vor, der Dienstbar- keitsvertrag zwischen der C._____ AG und dem Gesuchsgegner und seiner Ehe- frau sei am 30. September 2003 öffentlich beurkundet worden. Darin sei auch der Kostenverteilschlüssel für Erneuerungs- und Unterhaltskosten klar ersichtlich. Welche Kosten jährlich anfielen, könne man dagegen nicht definieren (Urk. 6 S. 2). Im Übrigen habe der Gesuchsgegner mehrfach - unter anderem in einem ge- richtlichen und einem friedensrichterlichen Vergleich - anerkannt, dass er einen Anteil an die Betriebskosten leisten müsse (Urk. 6 S. 2).</w:t>
      </w:r>
    </w:p>
    <w:p>
      <w:r>
        <w:rPr>
          <w:b/>
        </w:rPr>
        <w:t>E. 7</w:t>
      </w:r>
    </w:p>
    <w:p>
      <w:r>
        <w:t>Da sich die Gesuchstellerin nicht in genügendem Masse mit den vor- instanzlichen Erwägungen auseinandersetzt, kommt sie ihrer Rügepflicht nicht nach. Ihre Beschwerde erweist sich daher als offensichtlich unzulässig, weshalb darauf nicht einzutreten ist. Die Gesuchstellerin reicht ferner im Rahmen des Be- schwerdeverfahrens teilweise neue Belege ein (Urk. 9/1-16). Diese sind jedoch - selbst wenn nun ein genügender (zusammengesetzter) Rechtsöffnungstitel einge- reicht würde, was ohnehin nicht der Fall ist - angesichts des im Beschwerdever- fahren geltenden absoluten Novenverbots nicht beachtlich (Art. 326 Abs. 1 ZPO).</w:t>
      </w:r>
    </w:p>
    <w:p>
      <w:r>
        <w:rPr>
          <w:b/>
        </w:rPr>
        <w:t>E. 8</w:t>
      </w:r>
    </w:p>
    <w:p>
      <w:r>
        <w:t>Angesichts des Streitwerts von Fr. 933.95 sind die Verfahrenskosten in Anwendung von Art. 48 und Art. 61 GebV SchKG auf Fr. 150.– festzusetzen und gestützt auf Art. 106 Abs. 1 ZPO der Gesuchstellerin aufzuerlegen. Für das Be- schwerdeverfahren sind sodann keine Parteientschädigungen zuzusprechen, der Gesuchstellerin infolge ihres Unterliegens, dem Gesuchsgegner mangels erhebli- 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