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RT170008 vom 3. Februar 2017</w:t>
      </w:r>
    </w:p>
    <w:p>
      <w:r>
        <w:t>ZH Obergericht, 2017-02-03, DE</w:t>
      </w:r>
    </w:p>
    <w:p>
      <w:r>
        <w:rPr>
          <w:b/>
        </w:rPr>
        <w:t xml:space="preserve">Quelle: </w:t>
      </w:r>
      <w:r>
        <w:t>https://mcp.opencaselaw.ch/entscheid/zh_obergericht_RT170008</w:t>
      </w:r>
    </w:p>
    <w:p>
      <w:r>
        <w:t>FR: ZH_OBERGERICHT RT170008 du 3 février 2017</w:t>
      </w:r>
    </w:p>
    <w:p>
      <w:r>
        <w:t>IT: ZH_OBERGERICHT RT170008 del 3 febbraio 2017</w:t>
      </w:r>
    </w:p>
    <w:p>
      <w:pPr>
        <w:pStyle w:val="Heading2"/>
      </w:pPr>
      <w:r>
        <w:t>Erwägungen</w:t>
      </w:r>
    </w:p>
    <w:p>
      <w:r>
        <w:rPr>
          <w:b/>
        </w:rPr>
        <w:t>E. 20</w:t>
      </w:r>
    </w:p>
    <w:p>
      <w:r>
        <w:t>November 2015, den Einspracheentscheid der Veranlagungsbehörde des Kantonalen Steueramtes Zürich vom 22. Januar 2016 und die dazugehörige Rechnung des Kantonalen Steueramtes Zürich, Dienstabteilung Bundessteuer, vom 4. Februar 2016 betreffend die Direkte Bundessteuer 2012 für ausstehende Steuern definitive Rechtsöffnung für Fr. 13'561.60 nebst 3% Zins seit 6. März 2016 und für die Betreibungskosten (Fr. 103.30) sowie für Kosten und Entschädi- gung gemäss jenem Entscheid von insgesamt Fr. 260.– (Urk. 7 S. 2 f.). Auf Be- gehren des Beklagten und Beschwerdeführers (fortan Beklagter) wurde das Urteil begründet (Urk. 9; Urk. 10). 1.2 Hiergegen erhob der Beklagte mit Schreiben vom 10. Januar 2017 (gleichentags zur Post gegeben, eingegangen am 11. Januar 2017) innert Frist Beschwerde mit dem sinngemässen Antrag auf Abweisung des Rechtsöffnungs- begehrens (Urk. 12). 2.1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2.2 Der Beklagte wiederholt beschwerdeweise das bereits vor Vorinstanz Ausgeführte, nämlich dass die Steuereinschätzung betreffend das Steuerjahr</w:t>
      </w:r>
    </w:p>
    <w:p>
      <w:r>
        <w:t>- 3 - 2012 unzutreffend sei, da sein damaliger Buchhalter seinen Pflichten offensicht- lich nicht nachgekommen sei. Er habe 2012 wenig bis gar nichts verdient (Urk. 6; Urk. 9; Urk. 12 S. 1). Weiter beantragt er – wie bereits vor Vorinstanz – eine mündliche Stellungnahme vor Gericht, um eine Lösung zu finden. Gegebenenfalls könne sein kleiner Betrieb auch überprüft werden (Urk. 12 S. 2). 2.3.1 Der Beklagte setzt sich nicht mit den vorinstanzlichen Erwägungen auseinander, wonach materiellrechtliche Einwendungen unbeachtlich blieben, da das Rechtsöffnungsgericht keine Rechtsmittelinstanz sei, bei der das Sacher- kenntnis eines Titels erneut in Frage gestellt werden könne (Urk. 13 S. 4). Dies trifft zu: Im Rechtsöffnungsverfahren wird nicht (mehr) geprüft, ob die Forderung zu Recht besteht oder nicht und ob sie begründet ist oder nicht (vgl. Urk. 13 S. 4). Der Rechtsöffnungsrichter darf die im Rechtsöffnungstitel verurkundete Forderung nicht mehr auf ihren Bestand hin überprüfen. Es wird lediglich geprüft, ob die Vo- raussetzungen für eine (vorliegend) definitive Rechtsöffnung erfüllt sind, d.h. ob ein entsprechender gültiger Rechtsöffnungstitel vorliegt und keine Einwendungen nach Art. 81 SchKG seitens des Schuldners gegeben sind, wonach die Forderung erlassen, getilgt, gestundet oder verjährt ist. Solche Einwendungen hat der Be- klagte vor Vorinstanz nicht vorgebracht (Urk. 6; Urk. 9). Damit hat die Vorinstanz den Einwand des Beklagten, wonach der Einschätzungsentscheid falsch sei, zu Recht nicht berücksichtigt. Es bleibt darauf zu verweisen, dass diese Einwendun- gen mit der gegen den Einspracheentscheid möglichen Beschwerde hätten vor- gebracht werden müssen. 2.3.2 Sodann musste die Vorinstanz kein mündliches Verfahren durchfüh- ren, da im Verfahren betreffend Erteilung der definitiven Rechtsöffnung kein An- spruch auf eine mündliche Verhandlung besteht (BGE 141 I 97 E. 5). Ebenso we- nig besteht im Beschwerdeverfahren ein Anspruch auf eine mündliche Verhand- lung. Dieses Verfahren ist grundsätzlich schriftlich (Art. 327 Abs. 1 und 2 ZPO). Entsprechend ist der Antrag auf mündliche Stellungnahme im Beschwerdeverfah- ren abzuweisen.</w:t>
      </w:r>
    </w:p>
    <w:p>
      <w:r>
        <w:t>- 4 - 2.4 Damit erweist sich die Beschwerde als offensichtlich unzulässig, wes- halb auf das Einholen einer Beschwerdeantwort der Gegenpartei verzichtet wer- den kann (Art. 322 Abs. 1 ZPO). 3. Im Dispositiv des begründeten Urteils der Vorinstanz vom 28. Novem- ber 2016 wurde in Ziffer 1 in Abweichung des Dispositivs des unbegründeten Ur- teils als Nummer der Betreibung die Nr. 2 statt die Nr. 1 aufgeführt. Mit Blick auf den Zahlungsbefehl des Betreibungsamtes Rafzerfeld vom 27. Juli 2016, welcher diesem Rechtsöffnungsverfahren zugrunde liegt (Urk. 2), handelt es sich – wie im unbegründeten Urteil richtig aufgeführt – um die Nr. 1. Dementsprechend ist Dis- positivziffer 1 des begründeten Urteils der Vorinstanz vom 28. November 2016 neu zu fassen. 4.1 Die Entscheidgebühr für das Beschwerdeverfahren ist in Anwendung von Art. 48 i.V.m. Art. 61 Abs. 1 GebV SchKG (vgl. ZR 110/2011 Nr. 28) auf Fr. 500.– festzusetzen. Die Gerichtskosten sind ausgangsgemäss dem Beklagten aufzuerlegen (Art. 106 Abs. 1 ZPO). 4.2 Dem Kläger ist mangels relevanter Umtriebe im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