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RT160212 vom 31. März 2017</w:t>
      </w:r>
    </w:p>
    <w:p>
      <w:r>
        <w:t>ZH Obergericht, 2017-03-31, DE</w:t>
      </w:r>
    </w:p>
    <w:p>
      <w:r>
        <w:rPr>
          <w:b/>
        </w:rPr>
        <w:t xml:space="preserve">Quelle: </w:t>
      </w:r>
      <w:r>
        <w:t>https://mcp.opencaselaw.ch/entscheid/zh_obergericht_RT160212</w:t>
      </w:r>
    </w:p>
    <w:p>
      <w:r>
        <w:t>FR: ZH_OBERGERICHT RT160212 du 31 mars 2017</w:t>
      </w:r>
    </w:p>
    <w:p>
      <w:r>
        <w:t>IT: ZH_OBERGERICHT RT160212 del 31 marzo 2017</w:t>
      </w:r>
    </w:p>
    <w:p>
      <w:pPr>
        <w:pStyle w:val="Heading2"/>
      </w:pPr>
      <w:r>
        <w:t>Erwägungen</w:t>
      </w:r>
    </w:p>
    <w:p>
      <w:r>
        <w:rPr>
          <w:b/>
        </w:rPr>
        <w:t>E. 1</w:t>
      </w:r>
    </w:p>
    <w:p>
      <w:r>
        <w:t>a) Der Kläger und Beschwerdegegner (fortan Kläger) stellte vor Erstin- stanz mit Eingabe vom 19. Oktober 2016 das Begehren, es sei ihm in der Betrei- bung Nr. … des Betreibungsamtes Horgen (Zahlungsbefehl vom 21. April 2016) definitive Rechtsöffnung zu erteilen für Fr. 100.– Busse, Fr. 50.– Mahngebühr vom 16. Juni 2015 und Fr. 50.– Mahngebühr vom 22. September 2015, unter Kosten- und Entschädigungsfolgen zu Lasten des Beklagten und Beschwerdefüh- rers (fortan Beklagter; Urk. 1 f.). Mit Verfügung vom 7. November 2016 wurde das schriftliche Verfahren an- geordnet. Dem Beklagten wurde dabei Frist angesetzt, um eine schriftliche Stel- lungnahme zum Rechtsöffnungsbegehren einzureichen, wobei bei Säumnis auf- grund der Akten entschieden werde (Urk. 5). Der Beklagte nahm diese Verfügung am 9. November 2016 persönlich in Empfang (Urk. 6). In der Folge ging keine Stellungnahme des Beklagten bei der Vorinstanz ein. Mit unbegründetem Urteil vom 24. November 2016 entschied die Vorinstanz androhungsgemäss aufgrund des eingereichten Gesuchs sowie der vorhandenen Akten und erteilte dem Kläger gestützt auf eine Verfügung des Finanz- und Wirt- schaftsdepartementes des Kantons Tessin vom 15. Juli 2015 (Urk. 3) definitive Rechtsöffnung in der Betreibung Nr. … des Betreibungsamtes Horgen (Zahlungs- befehl vom 21. April 2016) für Fr. 100.– und Fr. 33.30 Betreibungskosten sowie für Kosten gemäss den Dispositivziffern 2 bis 3 des Urteils. Im Mehrbetrag wurde das Begehren abgewiesen (Urk. 7). Mit Eingabe vom 28. November 2016 verlangte der Beklagte die Begrün- dung des Urteils (Urk. 10), welche er am 8. Dezember 2016 persönlich in Emp- fang genommen hat (Urk. 13/2). b) Innert Frist erhob der Beklagte mit Eingabe vom 15. Dezember 2016 Be- schwerde gegen das vorgenannte Urteil mit dem sinngemässen Antrag, das an- gefochtene Urteil sei aufzuheben und das Rechtsöffnungsbegehren abzuweisen (Urk. 14).</w:t>
      </w:r>
    </w:p>
    <w:p>
      <w:r>
        <w:t>- 3 -</w:t>
      </w:r>
    </w:p>
    <w:p>
      <w:r>
        <w:rPr>
          <w:b/>
        </w:rPr>
        <w:t>E. 2</w:t>
      </w:r>
    </w:p>
    <w:p>
      <w:r>
        <w:t>a) Mit der Beschwerde können unrichtige Rechtsanwendung und offen- sichtlich unrichtige Feststellung des Sachverhalts geltend gemacht werden (Art. 320 ZPO). Gemäss Art. 326 Abs. 1 ZPO sind im Beschwerdeverfahren unter anderem neue Tatsachenbehauptungen und neue Beweismittel ausgeschlossen. Dies wird mit dem Charakter der Beschwerde begründet, die sich als ausseror- dentliches Rechtsmittel auf die Rechtskontrolle beschränkt und nicht das erstin- stanzliche Verfahren fortsetzen soll. Das Novenverbot ist umfassend (Freiburg- haus/Afheldt, in: Sutter-Somm/Hasenböhler/Leuenberger, ZPO-Komm., Art. 326 N 3 f.). b) Der Beklagte brachte im Rahmen des vorliegenden Rechtsöffnungsver- fahrens die in seiner Beschwerdeschrift vom 15. Dezember 2016 enthaltenen Tatsachenbehauptungen erstmals im Beschwerdeverfahren vor. Diese Vorbrin- gen sind im Sinne von Art. 326 Abs. 1 ZPO als verspätet zu betrachten und kön- nen daher nicht mehr berücksichtigt werden. Dasselbe gilt für die erstmals zu- sammen mit der Beschwerdeschrift eingereichte Urkunde 17/4.</w:t>
      </w:r>
    </w:p>
    <w:p>
      <w:r>
        <w:rPr>
          <w:b/>
        </w:rPr>
        <w:t>E. 3</w:t>
      </w:r>
    </w:p>
    <w:p>
      <w:r>
        <w:t>Im Übrigen setzt sich der Beklagte nicht mit den vorinstanzlichen Erwä- gungen des angefochtenen Urteils auseinander. Auf die Beschwerde ist daher nicht einzutreten.</w:t>
      </w:r>
    </w:p>
    <w:p>
      <w:r>
        <w:rPr>
          <w:b/>
        </w:rPr>
        <w:t>E. 4</w:t>
      </w:r>
    </w:p>
    <w:p>
      <w:r>
        <w:t>Die zweitinstanzliche Spruchgebühr ist ausgangsgemäss dem Beklagten aufzuerlegen (Art. 106 Abs. 1 ZPO). Die Spruchgebühr ist gestützt auf Art. 48 i.V.m. Art. 61 Abs. 1 GebV SchKG auf Fr. 100.– festzusetzen. Mangels wesentli- cher Umtriebe ist dem Kläger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