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RT160200 vom 16. Dezember 2016</w:t>
      </w:r>
    </w:p>
    <w:p>
      <w:r>
        <w:t>ZH Obergericht, 2016-12-16, DE</w:t>
      </w:r>
    </w:p>
    <w:p>
      <w:r>
        <w:rPr>
          <w:b/>
        </w:rPr>
        <w:t xml:space="preserve">Quelle: </w:t>
      </w:r>
      <w:r>
        <w:t>https://mcp.opencaselaw.ch/entscheid/zh_obergericht_RT160200</w:t>
      </w:r>
    </w:p>
    <w:p>
      <w:r>
        <w:t>FR: ZH_OBERGERICHT RT160200 du 16 décembre 2016</w:t>
      </w:r>
    </w:p>
    <w:p>
      <w:r>
        <w:t>IT: ZH_OBERGERICHT RT160200 del 16 dicembre 2016</w:t>
      </w:r>
    </w:p>
    <w:p>
      <w:pPr>
        <w:pStyle w:val="Heading2"/>
      </w:pPr>
      <w:r>
        <w:t>Erwägungen</w:t>
      </w:r>
    </w:p>
    <w:p>
      <w:r>
        <w:rPr>
          <w:b/>
        </w:rPr>
        <w:t>E. 2</w:t>
      </w:r>
    </w:p>
    <w:p>
      <w:r>
        <w:t>Es sei der Beschwerdeführerin und Gläubigerin in der Betreibung Nr. ... des Betreibungsamtes Birmensdorf für folgende Beträge definitive Rechtsöffnung zu erteilen: CHF 2'039.20 nebst Zins zu 3% seit 19. August 2016, CHF 181.65 aufgelaufener Zins bis 18. August 2016, CHF 73.30 Betreibungskosten.</w:t>
      </w:r>
    </w:p>
    <w:p>
      <w:r>
        <w:rPr>
          <w:b/>
        </w:rPr>
        <w:t>E. 3</w:t>
      </w:r>
    </w:p>
    <w:p>
      <w:r>
        <w:t>Unter Kosten- und Entschädigungsfolge. Insbesondere sei der Be- schwerdeführerin / Gläubigerin eine angemessene ausserrechtliche Entschädigung zuzusprechen." c) Die vorinstanzlichen Akten wurden beigezogen. Da sich die Beschwerde so- gleich als unbegründet erweist (vgl. nachfolgende Erwägungen), kann auf die Einholung einer Beschwerdeantwort verzichtet werden (Art. 322 Abs. 1 ZPO). 2. Als Gläubiger wird im Zahlungsbefehl, im Rechtsöffnungsbegehren und in der Beschwerde "Schweizerische Eidgenossenschaft handelnd durch den Kanton Schwyz" angegeben (Urk. 2/1, Urk. 1 und Urk. 6). Die Vorinstanz hat diese Be- zeichnung übernommen. Parteifähig ist jedoch entweder der Bund oder der Kan- ton Schwyz. Da im Verhältnis zu den Steuerpflichtigen der Kanton Schwyz Gläu- biger der Bundessteuern ist (Art. 2, Art. 160 DBG), kann die Parteibezeichnung entsprechend korrigiert werden.</w:t>
      </w:r>
    </w:p>
    <w:p>
      <w:r>
        <w:t>- 3 - 3.a) Die Vorinstanz erwog, der Gesuchsteller stütze sein Rechtsöffnungsbegeh- ren auf eine Veranlagungsverfügung vom 9. Juli 2013 betreffend kantonale Steu- ern und Bundessteuern für das Jahr 2011 (Urk. 2/3) sowie auf eine entsprechen- de Steuerrechnung vom 30. Juli 2013 (Urk. 2/4). Der Gesuchsgegner habe an- lässlich der Verhandlung die Einrede der nicht gehörigen Eröffnung der Veran- lagungsverfügung erhoben. Er habe ausgeführt, die Veranlagungsverfügung habe ihm wohl nicht zugestellt werden können, weil er sich im November 2012 in B._____ abgemeldet habe, in die Vereinigten Staaten ausgereist, erst im Sep- tember 2014 wieder in die Schweiz zurückgekehrt sei und sich in C._____ ange- meldet habe. Die Veranlagungsverfügung sei sodann anscheinend an seine frühere Adresse in B._____ versandt worden, wo die Post zu jenem Zeitpunkt nicht weitergeleitet worden sei. Die Vorinstanz erwog weiter, nicht gehörig eröff- nete Verfügungen könnten nicht vollstreckt werden. Werde die Eröffnung bzw. der Erhalt bestritten, trage die die Rechtsöffnung begehrende Behörde die Beweis- last. Da der Gesuchsgegner den Erhalt bestritten habe, sei es somit Sache des Gesuchstellers gewesen, die korrekte Eröffnung zu beweisen. Da für Letzteren niemand zur Verhandlung erschienen sei, sei aufgrund der Akten zu entscheiden. Die ins Recht gelegten Unterlagen würden keinen Aufschluss darüber geben, ob die Veranlagungsverfügung dem Gesuchsgegner zugestellt worden sei, und damit nicht dazu taugen, den erforderlichen Zustellnachweis zu erbringen. Im Übrigen sei vom Gesuchsteller auch nicht behauptet worden, dass die Veranlagungsver- fügung dem Gesuchsgegner zugestellt worden sei. Das Rechtsöffnungsbegehren sei somit mangels Nachweises der gehörigen Zustellung der Veranlagungsverfü- gung abzuweisen (Urk. 7 S. 3 f.). b) Mit der Beschwerde können unrichtige Rechtsanwendung und offensichtlich unrichtige Feststellung des Sachverhalts geltend gemacht werden (Art. 320 ZPO). Dabei gilt das Rügeprinzip (Freiburghaus/Afheldt, in: Sutter-Somm et al., ZPO Komm., Art. 321 N 15), d.h. die Beschwerde führende Partei hat konkret darzule- gen, was im Einzelnen am angefochtenen Entscheid unrichtig sei; was nicht in dieser Weise beanstandet wird, braucht von der Beschwerdeinstanz nicht über- prüft zu werden und hat insofern grundsätzlich Bestand.</w:t>
      </w:r>
    </w:p>
    <w:p>
      <w:r>
        <w:t>- 4 - c) Der Gesuchsteller macht in seiner Beschwerde geltend, es stimme nicht, dass der Gesuchsgegner sich im November 2012 in B._____ abgemeldet habe. Dies sei im November 2013 geschehen. Der Gesuchsgegner selber habe in ei- nem anderen Verfahren mit E-Mail vom 27. Februar 2014 darauf hingewiesen, dass er sich seit Ende Dezember 2013 nicht mehr in der Schweiz aufhalte. Die Veranlagungsverfügung 2011 sei dem Gesuchsgegner am 9. Juli 2013 sowie ein zweites Mal am 19. Juli 2013 eingeschrieben zugestellt und von der Post beide Male als nicht abgeholt zurückgesandt worden. Aufgrund der vorangegangenen Korrespondenz von Juni bis September 2012 habe der Gesuchsgegner mit einer Zustellung rechnen müssen, weshalb die Zustellfiktion gelte. Ein Schreiben betref- fend Eröffnung eines Nachsteuer- und Hinterziehungsverfahrens für die Steuer- jahre 2009 bis 2011 sei sodann dem Gesuchsgegner am 12. Februar 2014 per A-Post-Plus zugestellt worden. Der Gesuchsgegner habe schliesslich mit E-Mail vom 27. Februar 2014 darauf hingewiesen, dass die Einschätzungen der Jahre 2010 bis 2012 mutmasslich entstanden seien. Demgemäss sei ihm die vorliegend massgebende Veranlagungsverfügung 2011 zur Kenntnis gelangt. Daher sei die definitive Rechtsöffnung im beantragten Umfang zu erteilen (Urk. 6 S. 3 f.). d) Im Beschwerdeverfahren sind neue Behauptungen und neue Beweise nicht (mehr) zulässig (Art. 326 Abs. 1 ZPO). Was im erstinstanzlichen Verfahren nicht vorgetragen wurde, kann im Beschwerdeverfahren grundsätzlich nicht mehr gel- tend gemacht bzw. nachgeholt werden. Dieses Novenverbot ist umfassend und ergibt sich aus der Natur der Beschwerde, welche als ausserordentliches Rechtsmittel im Wesentlichen auf die Rechtskontrolle beschränkt ist und nicht das erstinstanzliche Verfahren fortsetzen soll (Freiburghaus/Afheldt, in: Sutter-Somm et al., a.a.O., Art. 326 N 3 f.). Sämtliche Beschwerdevorbringen des Gesuchstellers stellen solche neuen, im vorinstanzlichen Verfahren nicht vorgetragenen (vgl. Urk. 1) Tatsachenbehaup- tungen dar und können daher im Beschwerdeverfahren nicht berücksichtigt wer- den. Gleiches gilt für die im Beschwerdeverfahren erstmals und damit neu einge- reichten Beweismittel (Urk. 9/5-21). Aufgrund des massgebenden Aktenstandes (sämtliche Akten, welche der Vorinstanz vorgelegen haben) ist die vorinstanzliche</w:t>
      </w:r>
    </w:p>
    <w:p>
      <w:r>
        <w:t>- 5 - Erwägung, dass der Gesuchsteller die Zustellung der Veranlagungsverfügung 2011 an den Gesuchsgegner nicht nachgewiesen habe, nicht zu beanstanden. e) Nach dem Gesagten erweist sich die Beschwerde des Gesuchstellers als unbegründet, weshalb sie abzuweisen ist. 4.a) Der Streitwert des Beschwerdeverfahrens beträgt Fr. 2'039.20. Die zweit- instanzliche Entscheidgebühr ist in Anwendung von Art. 48 i.V.m. Art. 61 Abs. 1 GebV SchKG auf Fr. 150.– festzusetzen. b) Die Gerichtskosten des Beschwerdeverfahrens sind ausgangsgemäss dem Gesuchsteller aufzuerlegen (Art. 106 Abs. 1 ZPO). c) Für das Beschwerdeverfahren sind keine Parteientschädigungen zuzuspre- chen, dem Gesuchsteller zufolge seines Unterliegens, dem Gesuchsgegner man- gels relevanter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