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RT160197 vom 3. Februar 2017</w:t>
      </w:r>
    </w:p>
    <w:p>
      <w:r>
        <w:t>ZH Obergericht, 2017-02-03, DE</w:t>
      </w:r>
    </w:p>
    <w:p>
      <w:r>
        <w:rPr>
          <w:b/>
        </w:rPr>
        <w:t xml:space="preserve">Quelle: </w:t>
      </w:r>
      <w:r>
        <w:t>https://mcp.opencaselaw.ch/entscheid/zh_obergericht_RT160197</w:t>
      </w:r>
    </w:p>
    <w:p>
      <w:r>
        <w:t>FR: ZH_OBERGERICHT RT160197 du 3 février 2017</w:t>
      </w:r>
    </w:p>
    <w:p>
      <w:r>
        <w:t>IT: ZH_OBERGERICHT RT160197 del 3 febbraio 2017</w:t>
      </w:r>
    </w:p>
    <w:p>
      <w:pPr>
        <w:pStyle w:val="Heading2"/>
      </w:pPr>
      <w:r>
        <w:t>Erwägungen</w:t>
      </w:r>
    </w:p>
    <w:p>
      <w:r>
        <w:rPr>
          <w:b/>
        </w:rPr>
        <w:t>E. 1</w:t>
      </w:r>
    </w:p>
    <w:p>
      <w:r>
        <w:t>a) Die Gesuchsgegnerin ist die Tochter des Gesuchstellers. Beide sind je zur Hälfte Miteigentümer einer Ferienwohnung in …. Die Gesuchsgegnerin erwarb ihre Hälfte im Jahre 2006 vom Bruder des Gesuchstellers. Der Gesuch- steller machte geltend, er habe ihr hierfür ein zinsloses Darlehen von EUR 150'000.-- gewährt; die Gesuchsgegnerin machte geltend, dieser Betrag sei ihr als Schenkung bzw. Erbvorbezug gegeben worden. Der Gesuchsteller betrieb die Gesuchsgegnerin für den Darlehensbetrag. Mit Urteil vom 27. April 2016 er- teilte das Bezirksgericht Meilen dem Gesuchsteller gestützt auf den Darlehensver- trag vom 29. September 2006 provisorische Rechtsöffnung für Fr. 158'880.-- und wies mit Verfügung vom gleichen Tag das Armenrechtsgesuch der Gesuchsgeg- nerin ab (Urk. 27 = Urk. 33). b) Die von der Gesuchsgegnerin am 12. Mai 2016 erhobene Beschwerde gegen die erteilte provisorische Rechtsöffnung wurde von der Kammer mit Urteil vom 9. Juni 2016 rechtskräftig abgewiesen (Beschwerdeverfahren RT160087-O). c) Die von der Gesuchsgegnerin gleichzeitig erhobene Beschwerde ge- gen die Abweisung ihres Armenrechtsgesuchs wurde von der Kammer mit Urteil vom 12. Mai 2016 ebenfalls abgewiesen (Beschwerdeverfahren RT160094-O). Hiergegen hat die Gesuchsgegnerin Beschwerde an das Bundesgericht erhoben, welches mit Urteil vom 25. Oktober 2016 entschied (Urk. 40): "1.1 Die Beschwerde wird gutgeheissen und Beschluss und Urteil des Ober- gerichts des Kantons Zürich, I. Zivilkammer, vom 9. Juni 2016 werden aufge- hoben.</w:t>
      </w:r>
    </w:p>
    <w:p>
      <w:r>
        <w:rPr>
          <w:b/>
        </w:rPr>
        <w:t>E. 1.2</w:t>
      </w:r>
    </w:p>
    <w:p>
      <w:r>
        <w:t>Im bezirksgerichtlichen Verfahren EB160035-G wird der Beschwerde- führerin die unentgeltliche Rechtspflege gewährt und Rechtsanwalt X._____, vgt., als unentgeltlicher Rechtsvertreter beigeordnet. Sie wird im genannten Verfahren von der Tragung von Gerichtskosten befreit. Zur Bestimmung des Honorars des unentgeltlichen Rechtsvertreters wird die Angelegenheit an das Obergericht zurückgewiesen.</w:t>
      </w:r>
    </w:p>
    <w:p>
      <w:r>
        <w:rPr>
          <w:b/>
        </w:rPr>
        <w:t>E. 1.3</w:t>
      </w:r>
    </w:p>
    <w:p>
      <w:r>
        <w:t>Im obergerichtlichen Beschwerdeverfahren RT160094-O/U werden kei- ne Gerichtskosten erhoben. Der Kanton Zürich hat die Beschwerdeführerin für dieses Verfahren zu entschädigen. Zur Bestimmung der Parteientschädi- gung wird die Angelegenheit an das Obergericht zurückgewiesen."</w:t>
      </w:r>
    </w:p>
    <w:p>
      <w:r>
        <w:t>- 3 -</w:t>
      </w:r>
    </w:p>
    <w:p>
      <w:r>
        <w:rPr>
          <w:b/>
        </w:rPr>
        <w:t>E. 2</w:t>
      </w:r>
    </w:p>
    <w:p>
      <w:r>
        <w:t>a) Für das erstinstanzliche Verfahren hat das Bundesgericht der Gesuchsgegnerin die unentgeltliche Rechtspflege gewährt und sie von der Tra- gung von Gerichtskosten befreit (Urk. 40 Dispositiv-Ziffer 1.2), unter Vorbehalt der Nachzahlungspflicht (Urk. 40 Erw. 3.5). Die Verfügung und das Urteil des Be- zirksgerichts Meilen vom 27. April 2016 sind daher insofern anzupassen, als Dis- positiv-Ziffern 1, 4 und 5 aufzuheben sind und stattdessen vorzumerken ist, dass der Gesuchsgegnerin vom Bundesgericht die unentgeltliche Rechtspflege und Rechtsverbeiständung gewährt wurde, dass die Gerichtskosten einstweilen und unter Vorbehalt der Nachzahlungspflicht der Gesuchsgegnerin auf die Gerichts- kasse zu nehmen sind und dass dem Gesuchsteller der geleistete Kostenvor- schuss zurückzuerstatten ist (Art. 122 Abs. 1 lit. c ZPO), unter Vorbehalt der Ver- rechnung mit allfälligen anderen offenen Forderungen der Gerichtskasse. b) Sodann ist für das erstinstanzliche Verfahren die Entschädigung von Rechtsanwalt lic. iur. X._____ als unentgeltlicher Rechtsvertreter der Gesuchs- gegnerin festzusetzen (Urk. 40 Dispositiv-Ziffer 1.2). Dafür hatte dieser am 11. April 2016 eine Honorar-Rechnung eingereicht, welche eine Aufstellung sei- nes Aufwands mit einem Total von knapp 29 Stunden enthält (Urk. 26 Blatt 3: Fr. 6'368.95 bei einem Ansatz von Fr. 220.-- /Stunde ergibt ca. 28.95 Stunden). In dieser Aufstellung ist allerdings eine Vielzahl von (jeweils kleinen) Positionen für "rechtliche Abklärungen" bzw. "Recherchen" im Umfang von insgesamt 2 Stunden 40 Minuten enthalten (11., 17., 20. und 22.2.2016; 1., 4., 9., 10., 16., 24., 29. und 30.3.2016; vgl. Urk. 26). Rechtliche Recherchen und Abklärungen sind jedoch grundsätzlich nicht zu entschädigen, und der unentgeltliche Rechtsvertreter hat nicht dargelegt, dass und wieso dies vorliegend anders sein sollte (vgl. Urk. 26). Der geltend gemachte Aufwand von total knapp 29 Stunden ist daher um (gerun- det) 2.5 Stunden zu kürzen, womit ein Aufwand von 26.5 Stunden zu entschädi- gen ist. Dies entspricht bei einem Ansatz von Fr. 220.-- /Stunde (§ 3 AnwGebV) einem Honorar von Fr. 5'830.--. Die Barauslagen von Fr. 56.50 sind zusätzlich zu vergüten (§ 2 Abs. 2, § 22 Abs. 1 AnwGebV). Zur so resultierenden Zwischen- summe von Fr. 5'886.50 ist sodann die gesetzliche Mehrwertsteuer von 8 %, mit- hin Fr. 470.90, zu vergüten. Rechtsanwalt lic. iur. X._____ ist somit für das erstin- stanzliche Verfahren mit total Fr. 6'357.40 aus der Gerichtskasse zu entschädi-</w:t>
      </w:r>
    </w:p>
    <w:p>
      <w:r>
        <w:t>- 4 - gen. Vorzubehalten ist, dass die Gesuchsgegnerin zur Nachzahlung dieses Be- trags an die Gerichtskasse verpflichtet ist, sobald sie dazu finanziell in der Lage ist (Art. 123 ZPO).</w:t>
      </w:r>
    </w:p>
    <w:p>
      <w:r>
        <w:rPr>
          <w:b/>
        </w:rPr>
        <w:t>E. 3</w:t>
      </w:r>
    </w:p>
    <w:p>
      <w:r>
        <w:t>Für das Beschwerdeverfahren RT160094-O ist der Gesuchsgegnerin eine Parteientschädigung zulasten des Kantons zuzusprechen (Urk. 40 Disposi- tiv-Ziffer 1.3). Für dieses Verfahren ist von einem Streitwert der Hauptsache von Fr. 158'880.-- auszugehen. Die (volle) Grundgebühr beträgt damit Fr. 14'432.80 (§ 4 Abs. 1 AnwGebV). Diese ist für das summarische Verfahren auf zwei Drittel bis einen Fünftel zu ermässigen. Vorliegend ist angesichts der eher geringen Schwierigkeit des Falles und Verantwortung des Anwalts (§ 2 Abs. 1 AnwGebV) eine Reduktion auf knapp die Hälfte der Gebühr, mithin auf gerundet Fr. 7'000.-- vorzunehmen. Eine weitere Reduktion auf zwei Drittel bis einen Fünftel erfolgt im Hinblick darauf, dass nicht die Hauptsache, sondern die unentgeltliche Rechts- pflege umstritten war (vgl. § 10 Abs. 1 lit. b AnwGebV). Es ist angesichts des im Vergleich zur Hauptsache bescheidenen Betrags der finanziellen Folgen der un- entgeltlichen Rechtspflege eine weitere Reduktion auf einen Drittel vorzunehmen, womit sich eine Gebühr von Fr. 2'400.-- ergibt. Für das Rechtsmittelverfahren er- folgt sodann eine weitere Herabsetzung um einen bis zwei Drittel (§ 13 Abs. 2 AnwGebV). Aufgrund der vertieften Auseinandersetzung mit dem erstinstanzli- chen Entscheid erscheint eine Reduktion um bloss einen Drittel als angemessen, womit sich eine Gebühr von Fr. 1'600.-- ergibt. Zuschläge sind keine zu berech- nen (§ 11 Abs. 2 AnwGebV). Die Parteientschädigung für das Beschwerdeverfah- ren RT160094-O ist somit auf Fr. 1'600.-- festzusetzen, in Ermangelung eines entsprechenden Antrags (Urk. 32 S. 2 und S. 10) ohne Zuschlag für die Mehr- wertsteuer (Art. 58 Abs. 1 ZPO).</w:t>
      </w:r>
    </w:p>
    <w:p>
      <w:r>
        <w:rPr>
          <w:b/>
        </w:rPr>
        <w:t>E. 4</w:t>
      </w:r>
    </w:p>
    <w:p>
      <w:r>
        <w:t>Für das vorliegende Verfahren sind keine Gerichtskosten zu erheben (vgl. Art. 107 Abs. 2 ZPO) und mangels relevanten Aufwands der Parteien keine Parteientschädigungen zuzusprechen (Art. 95 Abs. 3 ZPO).</w:t>
      </w:r>
    </w:p>
    <w:p>
      <w:r>
        <w:t>- 5 - Es wird beschlossen: 1. Dispositiv-Ziffern 1, 4 und 5 der Verfügung und des Urteils des Bezirksge- richts Meilen vom 27. April 2016 (EB160035-G) werden aufgehoben und durch folgende Fassungen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