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RT160195 vom 9. Januar 2017</w:t>
      </w:r>
    </w:p>
    <w:p>
      <w:r>
        <w:t>ZH Obergericht, 2017-01-09, DE</w:t>
      </w:r>
    </w:p>
    <w:p>
      <w:r>
        <w:rPr>
          <w:b/>
        </w:rPr>
        <w:t xml:space="preserve">Quelle: </w:t>
      </w:r>
      <w:r>
        <w:t>https://mcp.opencaselaw.ch/entscheid/zh_obergericht_RT160195</w:t>
      </w:r>
    </w:p>
    <w:p>
      <w:r>
        <w:t>FR: ZH_OBERGERICHT RT160195 du 9 janvier 2017</w:t>
      </w:r>
    </w:p>
    <w:p>
      <w:r>
        <w:t>IT: ZH_OBERGERICHT RT160195 del 9 gennaio 2017</w:t>
      </w:r>
    </w:p>
    <w:p>
      <w:pPr>
        <w:pStyle w:val="Heading2"/>
      </w:pPr>
      <w:r>
        <w:t>Erwägungen</w:t>
      </w:r>
    </w:p>
    <w:p>
      <w:r>
        <w:rPr>
          <w:b/>
        </w:rPr>
        <w:t>E. 1</w:t>
      </w:r>
    </w:p>
    <w:p>
      <w:r>
        <w:t>a) Mit Urteil vom 26. September 2016 erteilte das Bezirksgericht Dielsdorf (Vorinstanz) der Beschwerdegegnerin und Gesuchstellerin (fortan Gesuchstellerin) in der Betreibung Nr. 1 des Betreibungsamts Rümlang-Oberglatt (Zahlungsbefehl vom 24. September 2015) – gestützt auf eine deutsche Grundschuldbestellungsur- kunde (Urkundenrolle Nr. 337/02) – definitive Rechtsöffnung für Fr. 10'923.– (Urk. 17 = Urk. 20). b) Hiergegen hat der Beschwerdeführer und Gesuchsgegner (fortan Ge- suchsgegner) am 24. November 2016 fristgerecht Beschwerde erhoben und stellte folgende Rechtsbegehren (Urk. 19 S. 2): "1. Die Beschwerde gutzuheissen, die Rechtsöffnung aufzuheben und den An- trag auf Rechtsöffnung abzuweisen oder die Sache an die Vorinstanz unter Aufhebung des Entscheides zurückzuweisen.</w:t>
      </w:r>
    </w:p>
    <w:p>
      <w:r>
        <w:rPr>
          <w:b/>
        </w:rPr>
        <w:t>E. 2</w:t>
      </w:r>
    </w:p>
    <w:p>
      <w:r>
        <w:t>Die Vollstreckung aus dem angefochtenen Bescheid, dem Rechtsöffnungs- urteil des Bezirksgerichtes vom 26.09.2016, bis zum Abschluss des Beschwer- deverfahrens aufzuschieben, Art 325 II ZPO und Art 327a ZPO analog.</w:t>
      </w:r>
    </w:p>
    <w:p>
      <w:r>
        <w:rPr>
          <w:b/>
        </w:rPr>
        <w:t>E. 3</w:t>
      </w:r>
    </w:p>
    <w:p>
      <w:r>
        <w:t>Das gleiche Ergebnis präsentiere sich aufgrund des Auseinanderfallens der Angebotsurkunde und der Annahme des Wohnungseigentumskaufs. Hier hätte die Rechtsprechung des deutschen Bundesgerichtshofes in Zivilsachen betreffend "Schrottimmobilien" herangezogen werden müs- sen, wonach die Bindungsfrist des Käufers (Verbraucher) nicht mehr als</w:t>
      </w:r>
    </w:p>
    <w:p>
      <w:r>
        <w:rPr>
          <w:b/>
        </w:rPr>
        <w:t>E. 4</w:t>
      </w:r>
    </w:p>
    <w:p>
      <w:r>
        <w:t>Vorsorglich sei ein Sachverständigengutachten für deutsches Grund- stückkaufsrecht hinzuzuziehen. b) Vorliegend handelt es sich beim eingereichten Dokument um eine öffent- liche Urkunde deutschen Rechts. Entsprechend gelangen die Bestimmungen des Art. 347 ZPO bzw. das innerstaatliche Recht betreffend Vollstreckung öffentlicher Urkunden (Art. 347 ff. ZPO) grundsätzlich nur subsidiär zur Anwendung (vgl. Art. 335 Abs. 3 ZPO). Vielmehr sind vorliegend die Bestimmungen des Lugano Übereinkommens vom 16. September 1988 (aLugÜ) heranzuziehen. Gemäss Art. 50 Abs. 1 aLugÜ ist die Vollstreckbarerklärung von öffentlichen Urkunden, die in einem durch das Lugano-Übereinkommen gebundenen Staat aufgenommen und vollstreckbar sind, nur zu versagen oder aufzuheben, wenn die Zwangsvollstre- ckung aus der Urkunde der öffentlichen Ordnung (ordre public) des Vollstreckungs- staats widersprechen würde. Es steht dem Schuldner indes frei, im Inzidenzverfah-</w:t>
      </w:r>
    </w:p>
    <w:p>
      <w:r>
        <w:t>- 7 - ren im Rahmen eines Rechtsöffnungsverfahrens auch sämtliche Einwendungen gegen den Bestand, Qualität und das korrekte Zustandekommen der öffentlichen Urkunde vorzubringen (Ivo Schwander, Vollstreckbare öffentliche Urkunden - Rechtsnatur, Verfahren der Erstellung und der Vollstreckung, AJP 2006 S. 675; Georg Naegeli, in: Dasser/Oberhammer, Kommentar zum Lugano-Übereinkommen [LugÜ], Bern 2008, Art. 50 N 59 ff.). Insbesondere kann der Schuldner geltend ma- chen, dass die vorgelegte öffentliche Urkunde im Errichtungsstaat nicht ordnungs- gemäss zustande gekommen ist (siehe Naegeli, a.a.O., Art. 50 N 74). Die (sinnge- mässe) Rüge, es liege keine rechtsgenügende Vollmacht für die vertretungsweise erklärte Übernahme der persönlichen Haftung im Umfang der bewilligten Grund- schuld und Unterwerfung gegenüber der Gesuchstellerin unter die sofortige Zwangsvollstreckung in das gesamte Vermögen vor, beschlägt das korrekte Zu- standekommen der öffentlichen Urkunde und stellt damit eine zulässige Einwen- dung dar. c) Ob die vorgelegte öffentliche Urkunde korrekt zustande gekommen ist, bestimmt sich sodann nach deutschem Recht. Gemäss diesem kann eine Unter- werfung unter die sofortige Zwangsvollstreckung durchaus in einem fremden Na- men durch einen Vertreter erfolgen (selbst ohne Vertretungsmacht, diesfalls wird sie mit der Genehmigung des Vertretenen nach § 89 dZPO wirksam, soweit diese in einer notariell beglaubigten Urkunde erfolgt, vgl. Baumbach/Lauterbach/Al- bers/Hartmann, Beck'scher Kurzkommentar zur Zivilprozessordnung, 74. Aufl. 2016, N 36 ff. zu § 794 D-ZPO; vgl. auch § 79 und 80 D-ZPO). Dass sich die Voll- machterklärung des Schuldners direkt auf eine bestimmte Urkundenrolle beziehen muss (vgl. Urk. 19 S. 4), wird nicht verlangt (vgl. im Übrigen BSK ZPO-Visinoni- Meyer, Art. 347 N 9, wonach aus der Vollmacht lediglich klar ersichtlich sein muss, dass sie sich auch auf die unmittelbare Vollstreckung gemäss Art. 347 ff. ZPO be- ziehe). d) Vorliegend wurde D._____ in der von ihm persönlich unterzeichneten Urkundenrolle Nr. 395/2002 vom Gesuchsgegner ausdrücklich bevollmächtigt, die Grundpfandrechte nebst dinglicher und persönlicher Unterwerfung unter die Zwangsvollstreckung zu bestellen, und zwar unter Befreiung von den Vorschriften des § 181 BGB. § 10 der genannten Urkundenrolle lässt sich im Weiteren entneh-</w:t>
      </w:r>
    </w:p>
    <w:p>
      <w:r>
        <w:t>- 8 - men, dass die Vollmacht erst dann erlöscht, wenn die Durchführung dieser Urkun- de (gemeint wohl: Urkundenrolle Nr. 395/2002) beendet ist. Der deutsche Bundes- gerichtshof befasste sich in seinem Urteil vom 11. Juni 2010 (V ZR 85/09) mit der Frage, wie lange ein notariell beurkundetes Angebot zum Kauf einer Eigentums- wohnung den Käufer binde bzw. ob eine zu spät erfolgte Annahme des Angebots seitens des Verkäufers dazu führe, dass kein Vertrag zustande gekommen ist. Der Bundesgerichtshof erwog, dass ein notarielles Angebot (zum Kauf einer Eigen- tumswohnung) erlischt, sofern es nicht rechtzeitig nach den §§ 147 bis 149 BGB angenommen worden ist. Als Frist, während der ein Eingang der Annahmeerklä- rung noch erwartet werden könne, sah der deutsche Bundesgerichtshof im genann- ten Entscheid vier Wochen vor. Nach Erlöschen kann der Antrag nicht mehr ange- nommen werden, er sei in diesem Zeitpunkt nicht mehr existent. Eine Annahme der nach § 150 Abs. 1 BGB als neues Angebot geltenden verspäteten Annahmeerklä- rung durch Schweigen komme bei besonders bedeutsamen Rechtsgeschäften, wozu beurkundungsbedürftige Grundstücksgeschäfte gehörten, nicht in Betracht. Die Zahlung des Kaufpreises stelle ebenfalls keine schlüssige Annahmeerklärung dar, sofern der Kläger mit der Zahlung lediglich den vermeintlich zustande gekom- menen Vertrag habe erfüllen wollen (vgl. BGH, Urt. v. 11. Juni 2010, V ZR 85 09). Vorliegend wurde das Angebot zum Abschluss eines Kaufvertrages über eine Ei- gentumswohnung am 2. Juli 2002 notariell beurkundet. Wann die Annahme des Angebots durch den Verkäufer tatsächlich erfolgte, hat der Gesuchsgegner im vo- rinstanzlichen Verfahren weder behauptet noch dargetan (vgl. Urk. 9 S. 2). Dass eine Annahmeerklärung erst fünf Wochen später (am 5. August 2002) und damit verspätet erfolgt sei, behauptete der Gesuchsgegner erstmals im Beschwerdever- fahren (Urk. 19 S. 5). Aufgrund des im Beschwerdeverfahren geltenden Novenver- bots bleibt diese neue Tatsachenbehauptung jedoch unberücksichtigt. Damit hat der Gesuchsgegner nicht rechtsgenügend dargetan, dass der Kaufvertrag gemäss der Rechtsprechung des Bundesgerichtshofes nicht zustande gekommen ist und die an D._____ erteilte Vollmacht allenfalls im Zeitpunkt der Unterzeichnung der Unterwerfungserklärung im Sinne von Abschnitt 4 des § 10 erloschen war. Und schliesslich ist der Vollständigkeit halber darauf hinzuweisen, dass die persönliche Haftungsübernahme ein abstraktes Schuldversprechen darstellt, das vom Schick-</w:t>
      </w:r>
    </w:p>
    <w:p>
      <w:r>
        <w:t>- 9 - sal des Grundgeschäfts grundsätzlich unabhängig ist. Zusammengefasst gehen die Einwendungen des Gesuchsgegners damit ins Leere. Hinsichtlich der Ausführungen des Gesuchsgegners zur Gesuchsbegründung der Gesuchstellerin (siehe oben Ziffer 2 von 4a) ist festzuhalten, dass die Vo- rinstanz ihren Entscheid nicht auf diese seitens der Gesuchstellerin vorgebrachte Begründung stützte (vgl. Urk. 20). Entsprechend erübrigen sich Weiterungen hier- zu. Soweit der Gesuchsgegner sodann den Sachverstand der schweizerischen Gerichte anzweifelt (siehe oben Ziffer 1 von 4a), ist er darauf hinzuweisen, dass der Rechtsöffnungsrichter auch schwierige Rechtsfragen klären muss und die Rechtsöffnung nicht aus dem Grund verweigern darf, dass eine Rechtsfrage als komplex erscheint. Der summarische Charakter bezieht sich stets nur auf die Sachverhaltsabklärung, nicht auf die Rechtsanwendung. Der Rechtsöffnungsrichter hat daher Gesetzesbestimmungen und Verträge auszulegen und die daraus fol- genden Schlüsse zu ziehen (Stücheli, Die Rechtsöffnung, Zürich 2000, S. 117). Abgesehen davon steht es dem Gesuchsgegner grundsätzlich frei, im Rahmen seiner Rechtsschriften rechtliche Ausführungen zu machen. Aufgrund des im Beschwerdeverfahren geltenden Novenverbotes besteht so- dann keine Möglichkeit, im zweitinstanzlichen Verfahren neue Beweismittel – wie beispielsweise ein Gutachten – zu erheben. e) Zusammengefasst erweist sich die Beschwerde hinsichtlich der monier- ten fehlenden Vollmacht damit als unbegründet. 5.a) Sodann bringt der Gesuchsgegner in seiner Beschwerdeschrift vor, die vorstehend dargestellte Rechtsprechung des deutschen Bundesgerichtshofes zu den "Schrottimmobilien" sei der Gesuchstellerin hinlänglich bekannt. Trotzdem ver- suche sie sich auf dem Wege der Rechtsöffnung nach Art. 80 SchKG "ohne tat- sächlichen Rechtsgrund" zu bereichern. Dies habe für den Gesuchsgegner erhebli- che finanzielle Folgen und führe zum Verlust der Kreditwürdigkeit durch den Ein- trag im Betreibungsregister. Es handle sich um eine rechtsmissbräuchliche Betrei- bung und es werde auf Art. 2 UWG verwiesen (Urk. 19 S. 5).</w:t>
      </w:r>
    </w:p>
    <w:p>
      <w:r>
        <w:t>- 10 - b) Soweit der Gesuchsgegner damit geltend machen will, die Betrei- bung sei nichtig, ist Folgendes festzuhalten: Die Nichtigkeit ist von Amtes wegen und in jedem Stadium des Verfahrens zu berücksichtigen (Art. 22 Abs. 1 SchKG; BSK SchKG I-Cometta/Möckli, Art. 22 N 18; Stücheli, a.a.O., S. 92), weshalb die diesbezüglichen Vorbringen des Gesuchsgegners nicht unter das Novenverbot von Art. 326 Abs. 1 ZPO fallen. Auf Nichtigkeit einer Betreibung wegen Rechtsmiss- brauchs kann jedoch nur in Ausnahmefällen erkannt werden (BSK SchKG I- Wüthrich/Schoch, Art. 69 N 15 mit Verweis auf BGE 115 III 19 ff.). Solange der Gläubiger mit der Betreibung tatsächlich die Einforderung eines Anspruchs be- zweckt, ist Rechtsmissbrauch praktisch ausgeschlossen. Verfolgt jedoch der Gläu- biger mit der Betreibung offensichtlich Ziele, die nicht das Geringste mit der Zwangsvollstreckung zu tun haben bzw. die mit dem Grundsatz von Treu und Glauben absolut unvereinbar sind, so ist eine Betreibung rechtsmissbräuchlich und nichtig. Beispielhaft werden dabei die Kreditschädigung, Verwirrung, Bedrängung, Zermürbung oder Schikanierung des Schuldners genannt (BSK SchKG I- Wüthrich/Schoch, Art. 69 N 16 mit weiteren Hinweisen). c) Ein Nichtigkeitsgrund im Sinne des zuvor Ausgeführten ist im vorliegen- den Fall indes nicht gegeben. Es sind keine Anhaltspunkte ersichtlich, die auf eine in missbräuchlicher Weise eingeleitete Betreibung schliessen lassen würden. Die alleinige (vom Gesuchsgegner behauptete) Kenntnis der Rechtsprechung des deutschen Bundesgerichtshofes betreffend "Schrottimmobilien" seitens der Ge- suchstellerin vermag für sich jedenfalls noch keinen Rechtsmissbrauch zu begrün- den. Dass die Gesuchstellerin mit ihrer Betreibung in tatsächlicher Hinsicht etwas anderes als die Einforderung ihres Anspruchs bezweckt, wird vom Gesuchsgegner ohnehin nicht geltend gemacht. Auch aus Art. 2 UWG kann der Gesuchsgegner diesbezüglich nichts zu seinen Gunsten ableiten. Entsprechend geht auch diese Rüge ins Leere. 6.a) Der Gesuchsgegner bringt weiter vor, das Bezirksgericht gehe in seinem Urteil vom 26. September 2016 davon aus, dass mit der Antragsstellung eine Grundschuld in Höhe von EUR 99'000.00 nebst Zinsen und Nebenkosten voll- streckbar erklärt werden solle. Im deutschen Recht gebe es keine "Grundschuld" als bezahlbare Forderung. Vielmehr meine Grundschuld, dass eine schuldrechtlich</w:t>
      </w:r>
    </w:p>
    <w:p>
      <w:r>
        <w:t>- 11 - zu zahlende Forderung zum Beispiel aus Darlehensvertrag mit Eintragung im Grundbuch zulasten eines Grundstücks oder Wohnungseigentums gesichert wer- den könne. Im weiteren verweist der Gesuchsgegner hierzu auf die Kommentie- rung des "Standard Kommentars zum Bürgerlichen Gesetzbuch, Palandt, zu den §§ 1191ff BGB, Verlag Beck München" (Urk.19 S. 3). b) Was der Gesuchsgegner daraus zu seinen Gunsten ableiten will, bleibt unklar. Relevant bleibt, dass der Gesuchsgegner in der als "Grundschuldbestel- lung" bezeichneten Urkundenrolle Nr. 337/02 unterschriftlich erklärte, für die Zah- lung eines Geldbetrages, dessen Höhe der bewilligten Grundschuld (Kapital, Zin- sen und die einmalige Nebenleistung) entspreche, die persönliche Haftung zu übernehmen, aus der er ohne vorherige Zwangsvollstreckung in das belastete Pfandobjekt in Anspruch genommen werden könne (vgl. Urk. 4 S. 2). Damit erübri- gen sich Weiterungen.</w:t>
      </w:r>
    </w:p>
    <w:p>
      <w:r>
        <w:rPr>
          <w:b/>
        </w:rPr>
        <w:t>E. 7</w:t>
      </w:r>
    </w:p>
    <w:p>
      <w:r>
        <w:t>Nach dem Gesagten erweist sich die Beschwerde des Gesuchsgegners ohne Weiteres als unbegründet, weshalb sie ohne Anhörung der Gegenseite ab- zuweisen ist.</w:t>
      </w:r>
    </w:p>
    <w:p>
      <w:r>
        <w:rPr>
          <w:b/>
        </w:rPr>
        <w:t>E. 8</w:t>
      </w:r>
    </w:p>
    <w:p>
      <w:r>
        <w:t>Die zweitinstanzliche Entscheidgebühr ist in Anwendung von Art. 48 i.V.m. Art. 61 Abs. 1 GebV SchKG auf Fr. 500.– festzusetzen und ausgangsge- mäss dem Gesuchsgegner aufzuerlegen (Art. 106 Abs. 1 ZPO). Für das Beschwerdeverfahren sind keine Parteientschädigungen zuzuspre- chen, dem Gesuchsgegner zufolge seines Unterliegens, der Gesuchstellerin man- gels entschädigungsbegründender Umtriebe (Art. 95 Abs. 3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