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RT160179 vom 16. Februar 2017</w:t>
      </w:r>
    </w:p>
    <w:p>
      <w:r>
        <w:t>ZH Obergericht, 2017-02-16, DE</w:t>
      </w:r>
    </w:p>
    <w:p>
      <w:r>
        <w:rPr>
          <w:b/>
        </w:rPr>
        <w:t xml:space="preserve">Quelle: </w:t>
      </w:r>
      <w:r>
        <w:t>https://mcp.opencaselaw.ch/entscheid/zh_obergericht_RT160179</w:t>
      </w:r>
    </w:p>
    <w:p>
      <w:r>
        <w:t>FR: ZH_OBERGERICHT RT160179 du 16 février 2017</w:t>
      </w:r>
    </w:p>
    <w:p>
      <w:r>
        <w:t>IT: ZH_OBERGERICHT RT160179 del 16 febbraio 2017</w:t>
      </w:r>
    </w:p>
    <w:p>
      <w:pPr>
        <w:pStyle w:val="Heading2"/>
      </w:pPr>
      <w:r>
        <w:t>Erwägungen</w:t>
      </w:r>
    </w:p>
    <w:p>
      <w:r>
        <w:rPr>
          <w:b/>
        </w:rPr>
        <w:t>E. 30</w:t>
      </w:r>
    </w:p>
    <w:p>
      <w:r>
        <w:t>Januar 2017 wurde diese der Gesuchstellerin zur Kenntnisnahme zugestellt (Urk. 16). 2.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t>- 3 - 3.1 Die Vorinstanz war zum Schluss gekommen, dass die in Betreibung gesetzte Forderung nicht fällig gewesen sei bzw. die Gesuchstellerin die Fälligkeit nicht nachgewiesen habe. Beim Datum von 2. September 1996 handle es sich – entgegen der Annahme der Gesuchstellerin – lediglich um das Datum der Aus- stellung des Verlustscheins. Dieses sei nur für die Verjährung des Verlustscheins relevant, indes sage es nichts über die Fälligkeit aus. Auch den weiteren, von der Gesuchstellerin eingereichten Unterlagen könne nichts darüber entnommen wer- den, wann die in Betreibung gesetzte Forderung zur Bezahlung fällig geworden sei. So könne sich die Gesuchstellerin auch nicht auf die durch die Konkurseröff- nung ausgelöste Fälligkeit berufen. Der Konkurs bewirke nämlich die Fälligkeit al- ler Forderungen nur gegenüber der Konkursmasse, nicht gegenüber Mitverpflich- teten oder dem Gemeinschuldner nach Abschluss, Einstellung mangels Aktiven oder Widerruf des Konkurses, da die vorgezogene Fälligkeit nur der konkursmäs- sigen Liquidation diene. Die durch den Konkurs hervorgerufene Fälligkeit komme bei einer Betreibung nach dem Konkurs und somit in einer Rechtsöffnung grund- sätzlich nicht zum Tragen (Urk. 9 S. 3 f. mit Verweis auf P. Stücheli, Die Rechts- öffnung, Zürich 2000, S. 200 f.). 3.2 Dem hält die Gesuchstellerin entgegen, dass sie hiermit nicht einver- standen sei. Der Verlustschein datiere vom 2. September 1996. Der Grund der Forderung sei ein Konfektionsartikel gewesen, weshalb dringend angenommen werden könne, dass die Forderung fällig sei (Urk. 8 S. 2 f.). 3.3 Der Gesuchsgegner führt lediglich aus, dass er keine Kenntnis habe, um was für eine Forderung es sich handle. Er habe von der Gesuchstellerin bis heute keinen Beleg erhalten (Urk. 14). 3.4 Der Vorinstanz ist dahingehend zuzustimmen, dass die Fälligkeit der Forderungen lediglich für das betreffende Konkursverfahren eintreten soll. So ist nicht einzusehen, weshalb der Konkursgläubiger eines noch nicht verfallenen An- spruches besser gestellt werden soll als ein entsprechender Pfändungsgläubiger. Damit ist grundsätzlich zutreffend, dass die durch einen Konkurs hervorgerufene Fälligkeit bei einer Betreibung nach dem Konkurs und somit in einer Rechtsöff- nung grundsätzlich nicht zum Tragen kommt. Indes gilt es Folgendes zu beach-</w:t>
      </w:r>
    </w:p>
    <w:p>
      <w:r>
        <w:t>- 4 - ten: Zwar kann das Gericht aus dem Konkursverlustschein, der bei einer vom Schuldner anerkannten Forderung zur provisorischen Rechtsöffnung berechtigt, nicht erkennen, ob die dadurch ausgewiesene Forderung vor dem Konkurs schon fällig war oder es zumindest bis zur Anhebung der Betreibung noch wurde. Die Fälligkeit einer durch einen Konkursverlustschein ausgewiesenen Forderung ist aber lediglich auf entsprechende, glaubhaft gemachte Einwendung durch den Schuldner hin zu prüfen (P. Stücheli, a.a.O., S. 201). Dies ändert nichts daran, dass die Fälligkeit der in Betreibung gesetzten Forderung letztlich vom Gläubiger nachzuweisen ist (BSK SchKG I-Staehelin, Art. 82 N 79), jedoch eben erst auf entsprechende Einrede hin. Da der Konkursverlustschein im Jahre 1996 ausge- stellt worden ist, spricht letztlich auch eine tatsächliche Lebensvermutung für die eingetretene Fälligkeit der Forderung aus dem hier vorliegenden Kaufgeschäft über einen Konfektionsartikel. Da der Schuldner von der Vorinstanz noch gar nicht zur Beantwortung des Rechtsöffnungsbegehrens aufgefordert worden ist, ist das angefochtene Urteil aufzuheben und das Verfahren zur Ergänzung und zu neuer Entscheidung an die Vorinstanz zurückzuweisen. 4. Abschliessend ist über die Kosten des Beschwerdeverfahrens zu be- finden. Im Falle eines Rückweisungsentscheides kann sich die Rechtsmittel- 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Art. 48 i.V.m. Art. 61 Abs. 1 GebV SchKG (vgl. ZR 110/2011 Nr. 28) auf Fr. 150.– festzulegen, unter Hinweis, dass für das Beschwerdeverfahren kein Kostenvorschuss verlangt worden ist. Die Verteilung sowie der Entscheid über die Parteientschädigung ist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