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RT160174 vom 6. Dezember 2016</w:t>
      </w:r>
    </w:p>
    <w:p>
      <w:r>
        <w:t>ZH Obergericht, 2016-12-06, DE</w:t>
      </w:r>
    </w:p>
    <w:p>
      <w:r>
        <w:rPr>
          <w:b/>
        </w:rPr>
        <w:t xml:space="preserve">Quelle: </w:t>
      </w:r>
      <w:r>
        <w:t>https://mcp.opencaselaw.ch/entscheid/zh_obergericht_RT160174</w:t>
      </w:r>
    </w:p>
    <w:p>
      <w:r>
        <w:t>FR: ZH_OBERGERICHT RT160174 du 6 décembre 2016</w:t>
      </w:r>
    </w:p>
    <w:p>
      <w:r>
        <w:t>IT: ZH_OBERGERICHT RT160174 del 6 dicembre 2016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Beschwerdefrist beträgt 10 Tage seit Zustellung des begründeten Entscheids (Art. 321 Abs. 2 ZPO). Diese Frist war am 15. August 2016 abgelau- fen. Auf die Beschwerde ist zufolge Verspätung nicht einzutreten.</w:t>
      </w:r>
    </w:p>
    <w:p>
      <w:r>
        <w:rPr>
          <w:b/>
        </w:rPr>
        <w:t>E. 3</w:t>
      </w:r>
    </w:p>
    <w:p>
      <w:r>
        <w:t>Da die Beschwerde offensichtlich unbegründet ist, kann auf das Einho- len einer Beschwerdeantwort der Gegenpartei verzichtet werden (Art. 322 Abs. 1 ZPO). 4.1 Ausnahmsweise kann nochmals darauf verzichtet werden, dem Be- schwerdeführer Gerichtskosten für das Beschwerdeverfahren aufzuerlegen, nachdem dieser bereits am 10. August 2016 eine identische Beschwerde in der gleichen Sache erhoben hatte. Der Beschwerdeführer wird aber darauf hingewie- sen, dass er bei einer weiteren Beschwerde in derselben Sache mit einer Kosten- auflage rechnen müsste. Offenbar möchte der Beschwerdeführer, dass ihm das Obergericht eine Ratenzahlungsvereinbarung unterbreitet. Dafür ist das Oberge- richt nicht zuständig. 4.2 Für das Beschwerdeverfahren sind keine Parteientschädigungen zuzu- sprechen (Art. 95 Abs. 3,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