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RT160167 vom 12. Oktober 2016</w:t>
      </w:r>
    </w:p>
    <w:p>
      <w:r>
        <w:t>ZH Obergericht, 2016-10-12, DE</w:t>
      </w:r>
    </w:p>
    <w:p>
      <w:r>
        <w:rPr>
          <w:b/>
        </w:rPr>
        <w:t xml:space="preserve">Quelle: </w:t>
      </w:r>
      <w:r>
        <w:t>https://mcp.opencaselaw.ch/entscheid/zh_obergericht_RT160167</w:t>
      </w:r>
    </w:p>
    <w:p>
      <w:r>
        <w:t>FR: ZH_OBERGERICHT RT160167 du 12 octobre 2016</w:t>
      </w:r>
    </w:p>
    <w:p>
      <w:r>
        <w:t>IT: ZH_OBERGERICHT RT160167 del 12 ottobre 2016</w:t>
      </w:r>
    </w:p>
    <w:p>
      <w:pPr>
        <w:pStyle w:val="Heading2"/>
      </w:pPr>
      <w:r>
        <w:t>Erwägungen</w:t>
      </w:r>
    </w:p>
    <w:p>
      <w:r>
        <w:rPr>
          <w:b/>
        </w:rPr>
        <w:t>E. 1</w:t>
      </w:r>
    </w:p>
    <w:p>
      <w:r>
        <w:t>a) Mit Urteil vom 15. August 2016 erteilte das Bezirksgericht Affol- tern (Vorinstanz) den Gesuchstellern in der Betreibung Nr. ... des Betreibungs- amts Bonstetten ZH (Zahlungsbefehl vom 29. Januar 2016) – für Staats- und Gemeindesteuern 2013 – definitive Rechtsöffnung für Fr. 24'822.10 nebst 4.5% Zins seit 23. Januar 2016, für Fr. 757.10 Ausgleichszins gemäss Schlussrech- nung vom 12. Oktober 2015 sowie für Fr. 217.20 aufgelaufene Zinsen bis 22. Januar 2016; im Mehrbetrag (Betreibungskosten) wurde das Begehren abge- wiesen und die Kosten- und Entschädigungsfolgen wurden zu Lasten der Ge- suchsgegnerin geregelt (Urk. 6; nachträglich begründet, Urk. 10 = Urk. 15). b) Hiergegen hat die Gesuchsgegnerin am 30. September 2016 fristge- recht Beschwerde erhoben und stellt die Beschwerdeanträge (Urk. 14 S. 2): "1. Das Urteil vom 15. August 2016 des Einzelrichters des Bezirksgerichts Affoltern sei aufzuheben</w:t>
      </w:r>
    </w:p>
    <w:p>
      <w:r>
        <w:rPr>
          <w:b/>
        </w:rPr>
        <w:t>E. 2</w:t>
      </w:r>
    </w:p>
    <w:p>
      <w:r>
        <w:t>a) Die Vorinstanz erwog, die Gesuchsteller würden sich auf den vom Kantonalen Steueramt Zürich erlassenen Einschätzungsentscheid für Staats- und Gemeindesteuern 2013 vom 9. September 2015 und die entsprechende Schluss- rechnung vom 12. Oktober 2015 stützen. Das Kantonale Steueramt Zürich habe die Rechtskraft des Einschätzungsentscheides bescheinigt und das Steueramt der Stadt Zürich diejenige der Schlussrechnung. Für die Vollstreckbarkeit müsse die Verfügung dem Schuldner in vorgeschriebener Weise eröffnet worden sein; einen entsprechenden Zustellnachweis habe die Behörde jedoch nur zu erbrin- gen, wenn der Schuldner die Einrede erhebe, dass ihm die Verfügung nicht zuge-</w:t>
      </w:r>
    </w:p>
    <w:p>
      <w:r>
        <w:t>- 3 - gangen sei. Vorliegend sei die Gesuchsgegnerin nicht zur Hauptverhandlung er- schienen und habe damit die Möglichkeit, Einreden gegen die definitive Rechts- öffnung vorzubringen, nicht wahrgenommen. Damit hätten die Gesuchsteller die Vollstreckbarkeit genügend nachgewiesen. Forderung und Zinsen seien durch die eingereichten Unterlagen ausgewiesen, weshalb diesbezüglich die Rechtsöffnung zu erteilen sei (Urk. 15 S. 3 ff.).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Gesuchsgegnerin macht in ihrer Beschwerde geltend, der Ein- schätzungsentscheid vom 9. September 2015 sei entgegen der Vorinstanz nicht vollstreckbar, da dieser ihr nie eröffnet worden bzw. zugekommen sei. Die Ge- suchsteller hätten weder für den Einschätzungsentscheid noch für die Schluss- rechnung im Rechtsöffnungsgesuch den Nachweis erbracht, dass diese zugestellt worden seien. Aus diesem Grund habe sie Rechtsvorschlag erhoben und damit nicht etwa verpasst, diese Einrede geltend zu machen. Die Vorinstanz hätte die Vollstreckbarkeit von Amtes wegen prüfen müssen, was sie nicht getan habe, weshalb deren Entscheid aufzuheben sei (Urk. 14 S. 2 f.). d) Dass ihr der Einschätzungsentscheid und die Schlussrechnung nicht zugestellt worden seien, hatte die Gesuchsgegnerin im vorinstanzlichen Verfah- ren nicht vorgetragen. Dies stellt damit eine neue Tatsachenbehauptung dar, wel- che im Beschwerdeverfahren nicht berücksichtigt werden kann (Art. 326 Abs. 1 ZPO; oben Erwägung 2.b). Richtig ist, dass das Rechtsöffnungsgericht die Voll-</w:t>
      </w:r>
    </w:p>
    <w:p>
      <w:r>
        <w:t>- 4 - streckbarkeit der als definitive Rechtsöffnungstitel eingereichten Urkunden von Amtes wegen zu prüfen hat. Dies hat die Vorinstanz allerdings getan; sie hat ge- prüft, ob Rechtskraftbestätigungen betreffend den Einschätzungsentscheid und die Schlussrechnung vorliegen, und hat dies bejaht (was als solches nicht gerügt wurde). Die Vorinstanz hat sodann korrekt dargelegt, dass die Gesuchsteller die Zustellung jener Entscheide nur dann speziell nachzuweisen haben, wenn dies von der Gesuchsgegnerin bestritten wird. Ebenso korrekt hat die Vorinstanz dar- gelegt, dass in ihrem Verfahren keine solche Einwendung geltend gemacht wur- de; die Erhebung eines unbegründeten Rechtsvorschlags (Urk. 2/1) stellt selbst- redend keine Einwendung der nicht erfolgten Zustellung dar. Demgemäss war ein spezieller Zustellnachweis entbehrlich und waren die Rechtskraftbestätigungen grundsätzlich ausreichend für den Nachweis der Vollstreckbarkeit. e) Weitere Beanstandungen enthält die Beschwerde nicht. Sie ist daher als unbegründet abzuweisen.</w:t>
      </w:r>
    </w:p>
    <w:p>
      <w:r>
        <w:rPr>
          <w:b/>
        </w:rPr>
        <w:t>E. 3</w:t>
      </w:r>
    </w:p>
    <w:p>
      <w:r>
        <w:t>a) Der Streitwert im Beschwerdeverfahren beträgt Fr. 24'822.10. Die zweitinstanzliche Entscheidgebühr ist in Anwendung von Art. 48 i.V.m. Art. 61 Abs. 1 GebV SchKG auf Fr. 360.-- festzusetzen. b) Die Gerichtskosten des Beschwerdeverfahrens sind ausgangsgemäss der unterliegenden Gesuchsgegnerin aufzuerlegen (Art. 106 Abs. 1 ZPO). c) Für das Beschwerdeverfahren sind keine Parteientschädigungen zuzu- sprechen, der Gesuchsgegnerin zufolge ihres Unterliegens, den Gesuchstellern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