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RT160165 vom 17. Januar 2017</w:t>
      </w:r>
    </w:p>
    <w:p>
      <w:r>
        <w:t>ZH Obergericht, 2017-01-17, DE</w:t>
      </w:r>
    </w:p>
    <w:p>
      <w:r>
        <w:rPr>
          <w:b/>
        </w:rPr>
        <w:t xml:space="preserve">Quelle: </w:t>
      </w:r>
      <w:r>
        <w:t>https://mcp.opencaselaw.ch/entscheid/zh_obergericht_RT160165</w:t>
      </w:r>
    </w:p>
    <w:p>
      <w:r>
        <w:t>FR: ZH_OBERGERICHT RT160165 du 17 janvier 2017</w:t>
      </w:r>
    </w:p>
    <w:p>
      <w:r>
        <w:t>IT: ZH_OBERGERICHT RT160165 del 17 gennaio 2017</w:t>
      </w:r>
    </w:p>
    <w:p>
      <w:pPr>
        <w:pStyle w:val="Heading2"/>
      </w:pPr>
      <w:r>
        <w:t>Erwägungen</w:t>
      </w:r>
    </w:p>
    <w:p>
      <w:r>
        <w:rPr>
          <w:b/>
        </w:rPr>
        <w:t>E. 1</w:t>
      </w:r>
    </w:p>
    <w:p>
      <w:r>
        <w:t>a) Die Parteien standen seit dem 17. Mai 2016 vor Vorinstanz in einem Rechtsöffnungsverfahren betreffend Unterhaltsbeiträge und Kinderzulagen (vgl. Urk. 1). Mit Urteil vom 14. September 2016 erkannte der Rechtsöffnungsrichter fol- gendermassen (Urk. 28 S. 11): " 1. Der klagenden Partei wird in der Betreibung Nr. 1 des Betrei- bungsamtes Kloten (Zahlungsbefehl vom 13. April 2016) definitive Rechtsöffnung erteilt für Fr. 21'420.30 nebst Zinsen zu 5 % seit 13. April 2016 und für die Betreibungskosten sowie Kosten und Ent- schädigung gemäss Ziff. 2 bis 4 dieses Entscheids. Im Mehrbetrag wird das Begehren abgewiesen.</w:t>
      </w:r>
    </w:p>
    <w:p>
      <w:r>
        <w:rPr>
          <w:b/>
        </w:rPr>
        <w:t>E. 2</w:t>
      </w:r>
    </w:p>
    <w:p>
      <w:r>
        <w:t>Die Spruchgebühr wird festgesetzt auf Fr. 450.–.</w:t>
      </w:r>
    </w:p>
    <w:p>
      <w:r>
        <w:rPr>
          <w:b/>
        </w:rPr>
        <w:t>E. 3</w:t>
      </w:r>
    </w:p>
    <w:p>
      <w:r>
        <w:t>Die Kosten werden der klagenden Partei zu einem Drittel und der beklagten Partei zu zwei Dritteln auferlegt.</w:t>
      </w:r>
    </w:p>
    <w:p>
      <w:r>
        <w:rPr>
          <w:b/>
        </w:rPr>
        <w:t>E. 4</w:t>
      </w:r>
    </w:p>
    <w:p>
      <w:r>
        <w:t>Die beklagte Partei wird verpflichtet, der klagenden Partei eine re- duzierte Parteientschädigung von Fr. 3'000.– (inkl. Mehrwertsteuer) zu bezahlen.</w:t>
      </w:r>
    </w:p>
    <w:p>
      <w:r>
        <w:rPr>
          <w:b/>
        </w:rPr>
        <w:t>E. 5</w:t>
      </w:r>
    </w:p>
    <w:p>
      <w:r>
        <w:t>(Schriftliche Mitteilung.)</w:t>
      </w:r>
    </w:p>
    <w:p>
      <w:r>
        <w:rPr>
          <w:b/>
        </w:rPr>
        <w:t>E. 6</w:t>
      </w:r>
    </w:p>
    <w:p>
      <w:r>
        <w:t>Eine Beschwerde gegen diesen Entscheid ist innerhalb von 30 Tagen von der Zustellung an beim Schweizerischen Bundesgericht, 1000 Lausanne 14, einzureichen. Zulässigkeit und Form einer solchen Beschwerde richten sich nach Art. 72 ff. (Beschwerde in Zivilsachen) oder Art. 113 ff. (subsidiäre Ver- fassungsbeschwerde) in Verbindung mit Art. 42 und 90 ff. des Bundesgeset- zes über das Bundesgericht (BGG). Dies ist ein Endentscheid im Sinne von Art. 90 BGG.</w:t>
      </w:r>
    </w:p>
    <w:p>
      <w:r>
        <w:t>- 8 - Es handelt sich um eine vermögensrechtliche Angelegenheit. Der Streitwert beträgt Fr. 6'150.–. Die Beschwerde an das Bundesgericht hat keine aufschiebende Wirkung. Hinsichtlich des Fristenlaufs gelten die Art. 44 ff. BGG. Zürich, 17. Januar 2017 Obergericht des Kantons Zürich I. Zivilkammer Der Gerichtsschreiber: lic. iur. A. Baumgartner versandt am: jo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