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RT160164 vom 25. Oktober 2016</w:t>
      </w:r>
    </w:p>
    <w:p>
      <w:r>
        <w:t>ZH Obergericht, 2016-10-25, DE</w:t>
      </w:r>
    </w:p>
    <w:p>
      <w:r>
        <w:rPr>
          <w:b/>
        </w:rPr>
        <w:t xml:space="preserve">Quelle: </w:t>
      </w:r>
      <w:r>
        <w:t>https://mcp.opencaselaw.ch/entscheid/zh_obergericht_RT160164</w:t>
      </w:r>
    </w:p>
    <w:p>
      <w:r>
        <w:t>FR: ZH_OBERGERICHT RT160164 du 25 octobre 2016</w:t>
      </w:r>
    </w:p>
    <w:p>
      <w:r>
        <w:t>IT: ZH_OBERGERICHT RT160164 del 25 ottobre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Mit Urteil vom 6. September 2016 erteilte die Vorinstanz dem Kläger und Beschwerdegegner (fortan Kläger) in der Betreibung Nr. ... des Betreibungs- amtes Rafzerfeld (Zahlungsbefehl vom 28. Dezember 2015) gestützt auf das Ur- teil des Obergerichts des Kantons Zürich vom 30. November 2011 (Geschäfts-Nr.: RT110182-O), die Verfügung des Obergerichts des Kantons Zürich vom 21. Au- gust 2014 (Geschäfts-Nr.: UH140104-O), die Verfügung des Bezirksgerichts Bülach vom 20. März 2014 (Geschäfts-Nr.: GC140003-C), das Urteil des Oberge- richts des Kantons Zürich vom 7. Mai 2015 (Geschäfts-Nr.: RT150032-O) und die Verfügung des Obergerichts des Kantons Zürich vom 22. Mai 2015 (Geschäfts- Nr.: UH150090-O) definitive Rechtsöffnung für Fr. 1'300.– und die Betreibungs- kosten von Fr. 73.30 sowie die Kosten und Entschädigung gemäss den Disposi- tivziffern 2 bis 4 des Urteils (Urk. 24). b) Mit fristgerechter Eingabe vom 23. September 2016 erhob der Beklagte und Beschwerdeführer (fortan Beklagter) Beschwerde gegen das vorgenannte Ur- teil mit folgenden Anträgen (Urk. 23 S. 2): " 1. Der Präsident des Obergerichts des Kanton Zürich hat das Rechts- eröffnungsbegehren zurück zu ziehen. Respektive, das Urteil vom</w:t>
      </w:r>
    </w:p>
    <w:p>
      <w:r>
        <w:rPr>
          <w:b/>
        </w:rPr>
        <w:t>E. 6</w:t>
      </w:r>
    </w:p>
    <w:p>
      <w:r>
        <w:t>a) Die Spruchgebühr des Beschwerdeverfahrens ist ausgangsgemäss dem Beklagten aufzuerlegen (Art. 106 Abs. 1 ZPO). Die Spruchgebühr ist gestützt auf Art. 48 i.V.m. Art. 61 Abs. 1 GebV SchKG auf Fr. 300.– festzusetzen. b) Mangels wesentlicher Umtriebe ist dem Kläger für das Beschwerdever- fahren keine Entschädigung zuzusprechen.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