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RT160153 vom 20. September 2016</w:t>
      </w:r>
    </w:p>
    <w:p>
      <w:r>
        <w:t>ZH Obergericht, 2016-09-20, DE</w:t>
      </w:r>
    </w:p>
    <w:p>
      <w:r>
        <w:rPr>
          <w:b/>
        </w:rPr>
        <w:t xml:space="preserve">Quelle: </w:t>
      </w:r>
      <w:r>
        <w:t>https://mcp.opencaselaw.ch/entscheid/zh_obergericht_RT160153</w:t>
      </w:r>
    </w:p>
    <w:p>
      <w:r>
        <w:t>FR: ZH_OBERGERICHT RT160153 du 20 septembre 2016</w:t>
      </w:r>
    </w:p>
    <w:p>
      <w:r>
        <w:t>IT: ZH_OBERGERICHT RT160153 del 20 settembre 2016</w:t>
      </w:r>
    </w:p>
    <w:p>
      <w:pPr>
        <w:pStyle w:val="Heading2"/>
      </w:pPr>
      <w:r>
        <w:t>Erwägungen</w:t>
      </w:r>
    </w:p>
    <w:p>
      <w:r>
        <w:rPr>
          <w:b/>
        </w:rPr>
        <w:t>E. 1</w:t>
      </w:r>
    </w:p>
    <w:p>
      <w:r>
        <w:t>a) Mit Urteil vom 8. Juni 2016 erteilte das Bezirksgericht Winterthur (Vorinstanz) der Gesuchstellerin in der Betreibung Nr. … des Betreibungsamts Elgg (Zahlungsbefehl vom 29. Oktober 2015) – gestützt auf einen Konkursverlust- schein vom 12. März 1997 – provisorische Rechtsöffnung für Fr. 2'667.15 sowie für Kosten und Entschädigung gemäss diesem Entscheid (Urk. 10). b) Hiergegen hat der Gesuchsgegner am 6. September 2016 Beschwerde erhoben (Urk. 9). c) Die vorinstanzlichen Akten wurden beigezogen. Da sich die Beschwer- de sogleich als offensichtlich unzulässig erweist, kann auf die Einholung einer Be- schwerdeantwort verzichtet werden (Art. 322 Abs. 1 ZPO).</w:t>
      </w:r>
    </w:p>
    <w:p>
      <w:r>
        <w:rPr>
          <w:b/>
        </w:rPr>
        <w:t>E. 2</w:t>
      </w:r>
    </w:p>
    <w:p>
      <w:r>
        <w:t>a) Das angefochtene Urteil wurde dem Gesuchsgegner am 13. Juni 2016 zugestellt (Urk. 8). Die Frist zur Erhebung der Beschwerde beträgt 10 Tage (Art. 321 Abs. 2 i.V.m. Art. 251 lit. a ZPO) und lief demzufolge am 23. Juni 2016 ab (Art. 142 ZPO). Die am 6. September 2016 zur Post gegebene Beschwerde ist damit verspätet erhoben worden. b) Der Gesuchsgegner ersucht um Wiederherstellung "der Frist gemäss SchKG 33 Abs 4" (Urk. 9). Die Wiederherstellung der Beschwerdefrist richtet sich nach Art. 143 ZPO. Nach beiden Bestimmungen ist das Gesuch um Wiederher- stellung begründet einzureichen, d.h. es ist im Gesuch darzulegen und glaubhaft zu machen, dass und wieso die versäumte Handlung ohne Verschulden (Art. 33 Abs. 4 SchKG) bzw. mit höchstens leichtem Verschulden (Art. 143 Abs. 1 ZPO) nicht innert Frist erfolgen konnte. In der vorliegenden Beschwerde ist jedoch keine solche Begründung enthalten; es wird mit keinem Wort dargelegt, welches Hin- dernis ein fristgerechtes Handeln verunmöglicht haben soll. Daher ist das Gesuch um Wiederherstellung der Beschwerdefrist abzuweisen. c) Demgemäss bleibt es dabei, dass die Beschwerde verspätet erhoben worden ist. Auf sie kann daher nicht eingetreten werden.</w:t>
      </w:r>
    </w:p>
    <w:p>
      <w:r>
        <w:t>- 3 -</w:t>
      </w:r>
    </w:p>
    <w:p>
      <w:r>
        <w:rPr>
          <w:b/>
        </w:rPr>
        <w:t>E. 3</w:t>
      </w:r>
    </w:p>
    <w:p>
      <w:r>
        <w:t>a) Für das Beschwerdeverfahren beträgt der Streitwert Fr. 2'667.15. Die zweitinstanzliche Entscheidgebühr ist in Anwendung von Art. 48 i.V.m. Art. 61 Abs. 1 GebV SchKG auf Fr. 200.-- festzusetzen. b) Die Gerichtskosten des Beschwerdeverfahrens sind ausgangsgemäss dem Gesuchsgegner aufzuerlegen (Art. 106 Abs. 1 ZPO). c) Für das Beschwerdeverfahren sind keine Parteientschädigungen zuzu- sprechen, dem Gesuchsgegner zufolge seines Unterliegens, der Gesuchstellerin mangels relevanter Umtriebe (Art. 95 Abs. 3,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