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RT160144 vom 6. September 2016</w:t>
      </w:r>
    </w:p>
    <w:p>
      <w:r>
        <w:t>ZH Obergericht, 2016-09-06, DE</w:t>
      </w:r>
    </w:p>
    <w:p>
      <w:r>
        <w:rPr>
          <w:b/>
        </w:rPr>
        <w:t xml:space="preserve">Quelle: </w:t>
      </w:r>
      <w:r>
        <w:t>https://mcp.opencaselaw.ch/entscheid/zh_obergericht_RT160144</w:t>
      </w:r>
    </w:p>
    <w:p>
      <w:r>
        <w:t>FR: ZH_OBERGERICHT RT160144 du 6 septembre 2016</w:t>
      </w:r>
    </w:p>
    <w:p>
      <w:r>
        <w:t>IT: ZH_OBERGERICHT RT160144 del 6 settembre 2016</w:t>
      </w:r>
    </w:p>
    <w:p>
      <w:pPr>
        <w:pStyle w:val="Heading2"/>
      </w:pPr>
      <w:r>
        <w:t>Erwägungen</w:t>
      </w:r>
    </w:p>
    <w:p>
      <w:r>
        <w:rPr>
          <w:b/>
        </w:rPr>
        <w:t>E. 1</w:t>
      </w:r>
    </w:p>
    <w:p>
      <w:r>
        <w:t>a) Der Gesuchsteller und Beschwerdegegner (fortan Gesuchsteller) stellte vor Erstinstanz mit Eingabe vom 22. Juni 2016 das Begehren, es sei ihm in der Betreibung Nr. … des Betreibungsamtes Zürich 1 (Zahlungsbefehl vom 3. Mai 2016) für Fr. 724.75 nebst Zins zu 3 % seit 28. April 2016, Fr. 8.90 Verzugszins bis 27. April 2016 und Fr. 87.30 Betreibungskosten die definitive Rechtsöffnung zu erteilen, unter Kosten- und Entschädigungsfolgen zulasten des Gesuchsgeg- ners und Beschwerdeführers (fortan Gesuchsgegner; Urk. 1 f.). In der Folge wurde der Gesuchsgegner mit Vorladung vom 29. Juni 2016 zur mündlichen Stellungnahme zum Rechtsöffnungsgesuch auf den 11. August 2016 vorgeladen (Urk. 4). In der Vorladung wurde der Gesuchsgegner darauf aufmerk- sam gemacht, dass seine allfällige schriftliche Stellungnahme vom Gericht be- rücksichtigt würde, sofern sie vor dem Verhandlungstermin eingehe oder an die Verhandlung mitgebracht werde. Wenn das Gericht nichts anderes anordne, finde die Verhandlung dennoch statt. Bei Säumnis entscheide das Gericht aufgrund der Akten. Der Gesuchsgegner sei mit Beweismitteln ausgeschlossen, die er nicht spätestens an der Verhandlung einreiche. Vorbehalten bleibe die Berücksichti- gung von Beweismitteln nach Art. 229 Abs. 1 ZPO (Urk. 4). Zur Verhandlung vom 11. August 2016 erschien keine der Parteien (vgl. Prot. Vi). Mit Urteil vom 11. August 2016 entschied der erstinstanzliche Rechtsöff- nungsrichter androhungsgemäss aufgrund der vorhandenen Akten (Art. 234 Abs. 1 ZPO) und erteilte dem Gesuchsteller gestützt auf die vollstreckbare Veran- lagungsverfügung für die direkte Bundessteuer 2014 vom 19. August 2015 (Urk. 3/2a, Urk. 3/3) definitive Rechtsöffnung in der Betreibung Nr. … des Betrei- bungsamtes Zürich 1, Zahlungsbefehl vom 3. Mai 2016, für Fr. 724.75 nebst Zins zu 3 % seit 28. April 2016 und Fr. 8.90 (Urk. 5). b) Innert Frist erhob der Gesuchsgegner mit Eingabe vom 23. August 2016 Beschwerde gegen das vorgenannte Urteil mit dem sinngemässen Antrag, das</w:t>
      </w:r>
    </w:p>
    <w:p>
      <w:r>
        <w:t>- 3 - vorinstanzliche Urteil sei aufzuheben und das Rechtsöffnungsbegehren abzuwei- sen (Urk. 7). c) Auf die Ausführungen des Gesuchsgegners in seiner Beschwerdeschrift ist nachfolgend nur insoweit einzugehen, als sich dies für die Entscheidfindung als notwendig erweist. Das Beschwerdeverfahren wird regelmässig als Aktenprozess ohne Partei- verhandlung durchgeführt (Freiburghaus/Afheldt, in: Sutter-Somm/Hasenböhler/ Leuenberger, ZPO-Komm., Art. 327 N 5 m.w.H.). Besondere Umstände, welche vorliegend für die ausnahmsweise Durchführung einer Parteiverhandlung im Be- schwerdeverfahren sprechen würden, sind nicht ersichtlich.</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b) Die Ausführungen des Gesuchsgegners in seiner Beschwerdeschrift (Urk. 7) wurden im Rahmen des vorliegenden Rechtsöffnungsverfahrens allesamt erstmals im Beschwerdeverfahren vorgebracht. Diese sind im Sinne von Art. 326 Abs. 1 ZPO als verspätet zu betrachten und können daher nicht mehr berücksich- tigt werden. Eine allfällige Tilgung der Schuld hätte der Gesuchsgegner im erstin- stanzlichen Rechtsöffnungsverfahren vorbringen und durch Urkunden beweisen müssen. Im Übrigen setzt sich der Gesuchsgegner im Beschwerdeverfahren mit dem vorinstanzlichen Urteil inhaltlich nicht weiter auseinander, weshalb auf die Be- schwerde nicht einzutreten ist.</w:t>
      </w:r>
    </w:p>
    <w:p>
      <w:r>
        <w:t>- 4 -</w:t>
      </w:r>
    </w:p>
    <w:p>
      <w:r>
        <w:rPr>
          <w:b/>
        </w:rPr>
        <w:t>E. 3</w:t>
      </w:r>
    </w:p>
    <w:p>
      <w:r>
        <w:t>a) Die zweitinstanzliche Spruchgebühr ist ausgangsgemäss dem Ge- suchsgegner aufzuerlegen (Art. 106 Abs. 1 ZPO). Die Spruchgebühr ist gestützt auf Art. 48 i.V.m. Art. 61 Abs. 1 GebV SchKG auf Fr. 150.– festzusetzen. b) Mangels wesentlicher Umtriebe ist dem Gesuchsteller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