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RT160120 vom 5. Juli 2016</w:t>
      </w:r>
    </w:p>
    <w:p>
      <w:r>
        <w:t>ZH Obergericht, 2016-07-05, DE</w:t>
      </w:r>
    </w:p>
    <w:p>
      <w:r>
        <w:rPr>
          <w:b/>
        </w:rPr>
        <w:t xml:space="preserve">Quelle: </w:t>
      </w:r>
      <w:r>
        <w:t>https://mcp.opencaselaw.ch/entscheid/zh_obergericht_RT160120</w:t>
      </w:r>
    </w:p>
    <w:p>
      <w:r>
        <w:t>FR: ZH_OBERGERICHT RT160120 du 5 juillet 2016</w:t>
      </w:r>
    </w:p>
    <w:p>
      <w:r>
        <w:t>IT: ZH_OBERGERICHT RT160120 del 5 luglio 2016</w:t>
      </w:r>
    </w:p>
    <w:p>
      <w:pPr>
        <w:pStyle w:val="Heading2"/>
      </w:pPr>
      <w:r>
        <w:t>Erwägungen</w:t>
      </w:r>
    </w:p>
    <w:p>
      <w:r>
        <w:rPr>
          <w:b/>
        </w:rPr>
        <w:t>E. 1</w:t>
      </w:r>
    </w:p>
    <w:p>
      <w:r>
        <w:t>a) Mit Urteil vom 7. Juni 2016 erteilte die Vorinstanz dem Kläger und Be- schwerdegegner (fortan Kläger) in der Betreibung Nr. … des Betreibungsamtes Embrachertal (Zahlungsbefehl vom 7. März 2016) gestützt auf die rechtskräftige Veranlagungsverfügung/Rechnung betreffend die direkte Bundessteuer für die Steuerperiode 2014 vom 18. September 2015 (vgl. Urk. 3/2 f.) definitive Rechts- öffnung für Fr. 457.– nebst Zinsen zu 3 % seit 3. März 2016, für Fr. 10.20 und für die Betreibungskosten sowie die Kosten gemäss den Dispositivziffern 2 bis 4 des Urteils (Urk. 9). b) Mit fristgerechter Eingabe vom 25. Juni 2016 erhob der Beklagte und Be- schwerdeführer (fortan Beklagter) hierorts Beschwerde gegen das vorgenannte Urteil mit dem Antrag, es sei die Steuerschuld bis Ende Oktober 2016 zu stunden (Urk. 8).</w:t>
      </w:r>
    </w:p>
    <w:p>
      <w:r>
        <w:rPr>
          <w:b/>
        </w:rPr>
        <w:t>E. 2</w:t>
      </w:r>
    </w:p>
    <w:p>
      <w:r>
        <w:t>a) Mit der Beschwerde können unrichtige Rechtsanwendung und offen- sichtlich unrichtige Feststellung des Sachverhalts geltend gemacht werden (Art. 320 ZPO). b) Der Beklagte führt in der Beschwerdeschrift zusammengefasst aus, dass er – wie bereits vor Vorinstanz vorgebracht – vorgesehen habe, die Bundessteu- erschuld durch den bei einer geplanten Auktion zu erzielenden Erlös eines wert- vollen geerbten Seidenteppichs bis Ende Oktober 2016 vollständig zu begleichen. Er ersuche deshalb um Stundung der Steuerschuld bis Ende Oktober 2016 (Urk. 8). c) Im Rahmen des Rechtsöffnungsverfahrens wird einzig geprüft, ob für die geltend gemachte Forderung ein Rechtsöffnungstitel vorliegt. Ob und inwieweit ein Schuldner eine fällige Schuld bezahlen kann, kann im Rechtsöffnungsverfah- ren nicht überprüft werden, sondern wird erst im Rahmen des Pfändungsvollzugs zu berücksichtigen sein (Art. 92 und 93 SchKG). Die beantragte Stundung kann daher weder im erstinstanzlichen Rechtsöffnungsverfahren noch im vorliegenden</w:t>
      </w:r>
    </w:p>
    <w:p>
      <w:r>
        <w:t>- 3 - Beschwerdeverfahren gewährt werden. Nur der Kläger hätte der vorliegenden Forderung Stundung gewähren können. Im Übrigen setzt sich der Beklagte nicht mit den vorinstanzlichen Erwägun- gen des angefochtenen Urteils auseinander. Damit erweist sich die Beschwerde als offensichtlich unzulässig. Es kann daher davon abgesehen werden, eine Be- schwerdeantwort des Klägers oder eine Stellungnahme der Vorinstanz einzuholen (Art. 322 ZPO, Art. 324 ZPO). Auf die Beschwerde ist nicht einzutreten (vgl. BGer 5A_205/2015 vom 22. Oktober 2015, E. 5.2 m.w.H.).</w:t>
      </w:r>
    </w:p>
    <w:p>
      <w:r>
        <w:rPr>
          <w:b/>
        </w:rPr>
        <w:t>E. 3</w:t>
      </w:r>
    </w:p>
    <w:p>
      <w:r>
        <w:t>Der Beklagte wird für das Beschwerdeverfahren ausgangsgemäss kos- tenpflichtig. Mangels wesentlicher Umtriebe ist dem Kläger für das Beschwerde- verfahren sodann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