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RT160077 vom 25. Juli 2016</w:t>
      </w:r>
    </w:p>
    <w:p>
      <w:r>
        <w:t>ZH Obergericht, 2016-07-25, DE</w:t>
      </w:r>
    </w:p>
    <w:p>
      <w:r>
        <w:rPr>
          <w:b/>
        </w:rPr>
        <w:t xml:space="preserve">Quelle: </w:t>
      </w:r>
      <w:r>
        <w:t>https://mcp.opencaselaw.ch/entscheid/zh_obergericht_RT160077</w:t>
      </w:r>
    </w:p>
    <w:p>
      <w:r>
        <w:t>FR: ZH_OBERGERICHT RT160077 du 25 juillet 2016</w:t>
      </w:r>
    </w:p>
    <w:p>
      <w:r>
        <w:t>IT: ZH_OBERGERICHT RT160077 del 25 luglio 2016</w:t>
      </w:r>
    </w:p>
    <w:p>
      <w:pPr>
        <w:pStyle w:val="Heading2"/>
      </w:pPr>
      <w:r>
        <w:t>Erwägungen</w:t>
      </w:r>
    </w:p>
    <w:p>
      <w:r>
        <w:rPr>
          <w:b/>
        </w:rPr>
        <w:t>E. 2</w:t>
      </w:r>
    </w:p>
    <w:p>
      <w:r>
        <w:t>Diese Unterhaltsbeiträge basieren auf dem Landesindex der Konsumentenpreise des BIGA von 103.8 Punkten (Nov. 1998). Sie werden im Januar jeden Jahres dem Stand vom November des Vorjahres angepasst, erstmals im Januar 2000. Der neue Betrag wird wie folgt berechnet und auf die nächsten fünf Franken auf- oder abgerundet: Beitrag gemäss Ziff. 1.1 x neuer Indexstand geteilt durch Indexstand gemäss Ziff. 2, Satz 1 3.-5. […]." Damit aber besteht – entgegen der Ansicht der Vorinstanz – ein Rechtsöff- nungstitel für die Rundungsbeträge. In Beachtung derselben ergeben sich folgen- de ausstehende Unterhaltsbeiträge: - September 2015 bis Dezember 2015: Fr. 450.– x 115.3 ./. 103.8 = Fr. 499.85. Gerundet entspricht dies Fr. 500.– an Unterhalt pro Monat, was für vier Monate Fr. 2'000.– ergibt. - Januar 2016 bis Februar 2016: Fr. 450.– x 113.7 ./. 103.8 = Fr. 492.91. Gerundet entspricht dies Fr. 495.– an Unterhalt pro Monat, was für zwei Monate Fr. 990.– ergibt. Dies aber ergibt einen Gesamtbetrag von Fr. 2'990.– an ausstehendem Un- terhalt. Für diesen ist Rechtsöffnung zu erteilen. Dementsprechend ist die Be- schwerde gutzuheissen und Dispositivziffer 1 des Urteils der Vorinstanz vom</w:t>
      </w:r>
    </w:p>
    <w:p>
      <w:r>
        <w:rPr>
          <w:b/>
        </w:rPr>
        <w:t>E. 7</w:t>
      </w:r>
    </w:p>
    <w:p>
      <w:r>
        <w:t>April 2016 ist dahingehend anzupassen.</w:t>
      </w:r>
    </w:p>
    <w:p>
      <w:r>
        <w:t>- 5 - 4.1 Die Entscheidgebühr für das Beschwerdeverfahren ist in Anwendung von Art. 48 i.V.m. Art. 61 Abs. 1 GebV SchKG auf Fr. 150.– festzusetzen. Der Gesuchsgegner hat sich im Beschwerdeverfahren zwar nicht vernehmen lassen, doch gilt der Grundsatz, wonach eine Partei im Verfahren nicht dadurch ihre Par- teistellung verliert, dass sie sich der Vernehmlassung enthält, und demgemäss bis zum Abschluss des Verfahrens das Prozess- und Kostenrisiko trägt (BGer 5A_61/2012, E. 2.3; BGE 123 V 156 E. 3c.). Vorliegend obsiegt die Gesuchstelle- rin vollumfänglich. Der Gesuchsgegner, welcher vor Vorinstanz sinngemäss die Abweisung des Rechtsöffnungsbegehrens verlangt hat (Urk. 7), unterliegt. Ent- sprechend wird der Gesuchsgegner kostenpflichtig. Ausgangsgemäss sind ihm damit die Gerichtskosten aufzuerlegen (Art. 106 Abs. 1 ZPO). 4.2 Die Gesuchstellerin beantragt die Zusprechung einer Entschädigung (Urk. 10 S. 1). Die Voraussetzungen für die Zusprechung einer solchen sind nicht erfüllt: Ein begründeter Fall im Sinne von Art. 95 Abs. 3 lit. c ZPO, welcher die Zu- sprechung einer Umtriebsentschädigung für eine nicht berufsmässig vertretene Partei vorsieht, liegt nicht vor. Die Gesuchstellerin ist ihrerseits vertreten durch ei- ne Verwaltungsbehörde, die lediglich ihre Amtspflicht wahrnimmt. Sie ist weder berufsmässig vertreten noch ist ihr ein entschädigungspflichtiger Aufwand ent- standen. Entsprechend ist das Begehren abzuweisen. Der Streitwert beträgt Fr. 4.80.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