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RT160075 vom 14. Juli 2016</w:t>
      </w:r>
    </w:p>
    <w:p>
      <w:r>
        <w:t>ZH Obergericht, 2016-07-14, DE</w:t>
      </w:r>
    </w:p>
    <w:p>
      <w:r>
        <w:rPr>
          <w:b/>
        </w:rPr>
        <w:t xml:space="preserve">Quelle: </w:t>
      </w:r>
      <w:r>
        <w:t>https://mcp.opencaselaw.ch/entscheid/zh_obergericht_RT160075</w:t>
      </w:r>
    </w:p>
    <w:p>
      <w:r>
        <w:t>FR: ZH_OBERGERICHT RT160075 du 14 juillet 2016</w:t>
      </w:r>
    </w:p>
    <w:p>
      <w:r>
        <w:t>IT: ZH_OBERGERICHT RT160075 del 14 luglio 2016</w:t>
      </w:r>
    </w:p>
    <w:p>
      <w:pPr>
        <w:pStyle w:val="Heading2"/>
      </w:pPr>
      <w:r>
        <w:t>Erwägungen</w:t>
      </w:r>
    </w:p>
    <w:p>
      <w:r>
        <w:rPr>
          <w:b/>
        </w:rPr>
        <w:t>E. 2</w:t>
      </w:r>
    </w:p>
    <w:p>
      <w:r>
        <w:t>Der Gesuchsgegner bringt beschwerdeweise vor, seine Ehegattin habe ihm die vorinstanzliche Verfügung vom 4. März 2016 – wie dies bereits früher in dieser Angelegenheit geschehen sei – nicht übergeben, sodass er zu den Ausfüh- rungen der Gesuchsteller nicht habe Stellung nehmen können. Er verweise dies- bezüglich auf die Argumentation im Beschluss der angerufenen Kammer vom 1. Dezember 2015, wonach nicht eröffnete Entscheide grundsätzlich keine Rechtswirkungen entfalten würden (Urk. 22 mit Verweis auf Urk. 12). Damit rügt der Gesuchsgegner die Verletzung seines Anspruchs auf Wahrung des rechtli- chen Gehörs. Des Weiteren reklamiert der Gesuchsgegner, dass er nach wie vor die Zu- stellung des Entscheids des Regionalgerichts Bern-Mittelland vom 16. August 2013 [recte: 29. März 2013, zugestellt am 16. August 2013] bestreite. Dies habe er bereits in seinen Eingaben vom 28. Juni 2015 und 30. August 2015 im Verfah- ren RT150106 ausgeführt. Da die Gesuchsteller in ihrer letzten Eingabe vor Vor- instanz offenbar lediglich die seiner damaligen Argumentation zugrundeliegende Tatsache der Zustellung an seine Ehefrau wiederholt hätten, ohne neue sachver- haltliche oder rechtliche Ausführungen dazu zu machen, sei nicht einzusehen, weshalb er dazu nochmals hätte Stellung nehmen müssen. Es handle sich hierbei um ein Sachverhaltselement, welches ohnehin im aktuell zu beurteilenden Verfah- ren vor der Vorinstanz nicht nochmals auszubreiten gewesen sei. Hätte er auf ei- ne ergänzende Stellungnahme verzichtet, so wäre dies aber nicht so zu interpre- tieren, dass er auf seine frühere Stellungnahme verzichtet habe. Diese habe da- hingehend gelautet, dass er das Urteil des Regionalgerichts Bern-Mittelland nicht erhalten habe. Eine Wiederholung derselben sei nicht nötig gewesen. Mit Blick auf den Beschluss der angerufenen Kammer vom 1. Dezember 2015 sei die Zu- stellung an seine Ehefrau nicht korrekt gewesen, weshalb die Rechtsöffnung un- gültig sei, da sie sich auf einen nichtigen Rechtsöffnungstitel beziehe (Urk. 22).</w:t>
      </w:r>
    </w:p>
    <w:p>
      <w:r>
        <w:rPr>
          <w:b/>
        </w:rPr>
        <w:t>E. 3</w:t>
      </w:r>
    </w:p>
    <w:p>
      <w:r>
        <w:t>Die Kosten für das zweitinstanzliche Verfahren werden dem Gesuchsgegner auferlegt.</w:t>
      </w:r>
    </w:p>
    <w:p>
      <w:r>
        <w:rPr>
          <w:b/>
        </w:rPr>
        <w:t>E. 4</w:t>
      </w:r>
    </w:p>
    <w:p>
      <w:r>
        <w:t>Es werden keine Parteientschädigungen zugesprochen.</w:t>
      </w:r>
    </w:p>
    <w:p>
      <w:r>
        <w:rPr>
          <w:b/>
        </w:rPr>
        <w:t>E. 5</w:t>
      </w:r>
    </w:p>
    <w:p>
      <w:r>
        <w:t>Schriftliche Mitteilung an die Parteien, an die Gesuchsteller unter Beilage ei- nes Doppels von Urk. 22, sowie an die Vorinstanz, je gegen Empfangs- schein. Die erstinstanzlichen Akten gehen nach unbenütztem Ablauf der Rechtsmit- telfrist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5'905.45. Die Beschwerde an das Bundesgericht hat keine aufschiebende Wirkung. Hinsichtlich des Fristenlaufs gelten die Art. 44 ff. BGG. Zürich, 14. Juli 2016 Obergericht des Kantons Zürich I. Zivilkammer Die Gerichtsschreiberin: lic. iur. K. Montani Schmidt versandt am: 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