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RT160068 vom 21. April 2016</w:t>
      </w:r>
    </w:p>
    <w:p>
      <w:r>
        <w:t>ZH Obergericht, 2016-04-21, DE</w:t>
      </w:r>
    </w:p>
    <w:p>
      <w:r>
        <w:rPr>
          <w:b/>
        </w:rPr>
        <w:t xml:space="preserve">Quelle: </w:t>
      </w:r>
      <w:r>
        <w:t>https://mcp.opencaselaw.ch/entscheid/zh_obergericht_RT160068</w:t>
      </w:r>
    </w:p>
    <w:p>
      <w:r>
        <w:t>FR: ZH_OBERGERICHT RT160068 du 21 avril 2016</w:t>
      </w:r>
    </w:p>
    <w:p>
      <w:r>
        <w:t>IT: ZH_OBERGERICHT RT160068 del 21 aprile 2016</w:t>
      </w:r>
    </w:p>
    <w:p>
      <w:pPr>
        <w:pStyle w:val="Heading2"/>
      </w:pPr>
      <w:r>
        <w:t>Erwägungen</w:t>
      </w:r>
    </w:p>
    <w:p>
      <w:r>
        <w:rPr>
          <w:b/>
        </w:rPr>
        <w:t>E. 14</w:t>
      </w:r>
    </w:p>
    <w:p>
      <w:r>
        <w:t>März 2016 an die Vorinstanz (bei dieser am 24. März 2016 eingegangen; Urk. 20; Urk. 23). Dieses Schreiben wurde von der Vorinstanz unkommentiert an die angerufene Kammer weitergeleitet und ging hierorts am 31. März 2016 ein (Urk. 23). 1.3 Da nicht klar war, ob der Beklagte mit seinem Schreiben vom 14. März 2016 Beschwerde gegen das Urteil der Vorinstanz vom 21. Januar 2016 erheben, oder ob er lediglich seinen Unmut kundtun wollte, wurde ihm mit Schreiben vom 31. März 2016 die Möglichkeit zur Klärung gegeben, unter Androhung, dass bei Stillschweigen die Eingabe vom 14. März 2016 als Beschwerde entgegenge- nommen werde. Sodann wurde ihm die Gelegenheit eingeräumt, auf die Durch- führung eines formellen Beschwerdeverfahrens zu verzichten (Urk. 25). Am 11. April 2016 (Datum Poststempel) teilte der Beklagte mit, eine Beschwerde ge- gen das vorinstanzliche Urteil vom 21. Januar 2016 erheben zu wollen (Urk. 26; Urk. 27). Dementsprechend ist das Beschwerdeverfahren durchzuführen. 2.1 Damit auf eine Beschwerde eingetreten werden kann, muss diese in- nert Frist erhoben worden sein (Art. 321 Abs. 2 ZPO). 2.2 Das begründete Urteil wurde dem Beklagten am 25. Februar 2016 zu- gestellt (Urk. 18/1). Entsprechend endete die 10-tägige Beschwerdefrist gemäss</w:t>
      </w:r>
    </w:p>
    <w:p>
      <w:r>
        <w:t>- 3 - Art. 321 Abs. 2 ZPO (vgl. die zutreffende Rechtsmittelbelehrung im angefochte- nen Entscheid; Urk. 24 S. 5 f.) am Montag, den 7. März 2016 (Art. 142 ZPO). Zwar ist der Poststempel der Eingabe des Beklagten unlesbar; da diese indes vom 14. März 2016 datiert und bei der Vorinstanz erst am 24. März 2016 einging, ist davon auszugehen, dass der Beklagte seine Eingabe erst nach dem 7. März 2016 der Schweizerischen Post zuhanden des Gerichts übergeben hatte. Damit aber ist die Eingabe ohnehin verspätet (Art. 143 Abs. 1 ZPO). Dementsprechend ist auf die Beschwerde infolge Verspätung nicht einzutreten. 2.3 Damit erweist sich die Beschwerde als offensichtlich unzulässig, wes- halb auf das Einholen einer Beschwerdeantwort der Gegenpartei verzichtet wer- den kann (Art. 322 Abs. 1 ZPO). 3.1 Die Entscheidgebühr für das Beschwerdeverfahren ist in Anwendung von Art. 48 i.V.m. Art. 61 Abs. 1 GebV SchKG (vgl. ZR 110/2011 Nr. 28) auf Fr. 150.– festzusetzen. Die Gerichtskosten sind ausgangsgemäss dem Beklagten aufzuerlegen (Art. 106 Abs. 1 ZPO). 3.2 Dem Kläger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