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RT160060 vom 11. April 2016</w:t>
      </w:r>
    </w:p>
    <w:p>
      <w:r>
        <w:t>ZH Obergericht, 2016-04-11, DE</w:t>
      </w:r>
    </w:p>
    <w:p>
      <w:r>
        <w:rPr>
          <w:b/>
        </w:rPr>
        <w:t xml:space="preserve">Quelle: </w:t>
      </w:r>
      <w:r>
        <w:t>https://mcp.opencaselaw.ch/entscheid/zh_obergericht_RT160060</w:t>
      </w:r>
    </w:p>
    <w:p>
      <w:r>
        <w:t>FR: ZH_OBERGERICHT RT160060 du 11 avril 2016</w:t>
      </w:r>
    </w:p>
    <w:p>
      <w:r>
        <w:t>IT: ZH_OBERGERICHT RT160060 del 11 aprile 2016</w:t>
      </w:r>
    </w:p>
    <w:p>
      <w:pPr>
        <w:pStyle w:val="Heading2"/>
      </w:pPr>
      <w:r>
        <w:t>Erwägungen</w:t>
      </w:r>
    </w:p>
    <w:p>
      <w:r>
        <w:rPr>
          <w:b/>
        </w:rPr>
        <w:t>E. 1</w:t>
      </w:r>
    </w:p>
    <w:p>
      <w:r>
        <w:t>a) Mit Eingabe vom 14. März 2016 reichte der Gesuchsteller beim Bezirksgericht Uster (Vorinstanz) das Begehren ein, es sei ihm in der Betreibung Nr. … des Betreibungsamts Fällanden (Zahlungsbefehl vom 9. März 2016) ge- stützt auf einen Strafbefehl vom 14. Januar 2015 Rechtsöffnung für Fr. 730.-- zu erteilen (Vi-Urk. 1). Mit Verfügung vom 15. März 2016 setzte die Vorinstanz dem Gesuchsteller eine Frist zur Leistung eines Gerichtskostenvorschusses von Fr. 150.-- an (Vi-Urk. 4 = Urk. 2). b) Hiergegen hat die Gesuchsgegnerin am 23. März 2016 fristgerecht Be- schwerde erhoben und stellt den Beschwerdeantrag (Urk. 1 S. 2): "Bitte beurteilen Sie den Sachverhalt neu." c) Die vorinstanzlichen Akten wurden beigezogen. Da sich die Beschwer- de sogleich als offensichtlich unzulässig erweist, kann auf die Einholung einer Be- schwerdeantwort verzichtet werden (Art. 322 Abs. 1 ZPO).</w:t>
      </w:r>
    </w:p>
    <w:p>
      <w:r>
        <w:rPr>
          <w:b/>
        </w:rPr>
        <w:t>E. 2</w:t>
      </w:r>
    </w:p>
    <w:p>
      <w:r>
        <w:t>a) Die Prozessvoraussetzungen für ein Rechtsmittel sind von Amtes wegen zu prüfen, d.h. auch ohne dass eine Partei dies verlangt (Art. 60 ZPO). Für eine Beschwerde ist (unter anderem) Prozessvoraussetzung, dass diejenige Par- tei, welche Beschwerde erhebt, durch den angefochtenen Entscheid einen Nach- teil erleidet; ohne diese sogenannte Beschwer hat die Beschwerde führende Par- tei kein schutzwürdiges Interesse an der Beurteilung ihrer Beschwerde und ist dementsprechend auf eine solche nicht einzutreten (vgl. Art. 59 Abs. 2 lit. a ZPO). Soweit ein solcher Nachteil nicht geradezu auf der Hand liegt, ist er in der Be- schwerde darzulegen und zu begründen (vgl. Art. 321 Abs. 1 ZPO: "begründet"). b) Die Gesuchsgegnerin erleidet durch die angefochtene Verfügung kei- nen Nachteil. Sie wird zu nichts verpflichtet (es wird einzig dem Gesuchsteller ei- ne Frist zur Zahlung eines Gerichtskostenvorschusses angesetzt). Auf ihre Be- schwerde kann daher nicht eingetreten werden.</w:t>
      </w:r>
    </w:p>
    <w:p>
      <w:r>
        <w:t>- 3 - c) Die Gesuchsgegnerin bringt in ihrer Beschwerde denn auch nichts ge- gen die angefochtene Verfügung, sondern einzig Argumente gegen den Strafbe- fehl des Statthalteramts des Bezirks Uster vom 14. Januar 2015 (Vi-Urk. 3/4) vor. Diese können jedoch im vorliegenden Beschwerdeverfahren nicht berücksichtigt werden; die Gesuchsgegnerin wird ihre Argumente im vorinstanzlichen Verfahren vorbringen können. Dafür wird die Vorinstanz der Gesuchsgegnerin zu gegebener Zeit Frist ansetzen. Die Gesuchsgegnerin ist allerdings bereits jetzt darauf hinzu- weisen, dass es im vorliegenden Rechtsöffnungsverfahren einzig noch um die Vollstreckung eines bereits rechtskräftigen Entscheids geht; die Vorinstanz als Rechtsöffnungsgericht kann diesen Entscheid daher inhaltlich nicht überprüfen.</w:t>
      </w:r>
    </w:p>
    <w:p>
      <w:r>
        <w:rPr>
          <w:b/>
        </w:rPr>
        <w:t>E. 3</w:t>
      </w:r>
    </w:p>
    <w:p>
      <w:r>
        <w:t>a) Für das Beschwerdeverfahren ist umständehalber auf die Erhe- bung von Gerichtskosten zu verzichten. b) Für das Beschwerdeverfahren sind keine Parteientschädigungen zuzu- sprechen, der Gesuchsgegnerin zufolge ihres Unterliegens, dem Gesuchsteller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