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RT160059 vom 12. April 2016</w:t>
      </w:r>
    </w:p>
    <w:p>
      <w:r>
        <w:t>ZH Obergericht, 2016-04-12, DE</w:t>
      </w:r>
    </w:p>
    <w:p>
      <w:r>
        <w:rPr>
          <w:b/>
        </w:rPr>
        <w:t xml:space="preserve">Quelle: </w:t>
      </w:r>
      <w:r>
        <w:t>https://mcp.opencaselaw.ch/entscheid/zh_obergericht_RT160059</w:t>
      </w:r>
    </w:p>
    <w:p>
      <w:r>
        <w:t>FR: ZH_OBERGERICHT RT160059 du 12 avril 2016</w:t>
      </w:r>
    </w:p>
    <w:p>
      <w:r>
        <w:t>IT: ZH_OBERGERICHT RT160059 del 12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15. März 2016 erteilte das Bezirksgericht Hinwil (Vorinstanz) der Gesuchstellerin in der Betreibung Nr. … des Betreibungsamts Wetzikon ZH (Zahlungsbefehl vom 12. Februar 2016) – gestützt auf einen Ehe- schutzentscheid des Bezirksgerichts Pfäffikon vom 25. Januar 2011 für ausste- hende Kinderunterhaltsbeiträge – definitive Rechtsöffnung für Fr. 27'000.-- nebst 5% Zins seit 12. Februar 2016, für die Betreibungskosten sowie für Kosten und Entschädigung gemäss diesem Entscheid (Urk. 10 = Urk. 13). b) Hiergegen hat der Gesuchsgegner am 23. März 2016 fristgerecht Beru- fung erhoben und stellt die Rechtsmittelanträge (Urk. 12 S. 1 f.): "1. Es sei die Verfügung des Bezirksgerichtes Hinwil vom 15. März 2016 Geschäfts-Nr.: EB160050-E / U1 aufzuheben;</w:t>
      </w:r>
    </w:p>
    <w:p>
      <w:r>
        <w:rPr>
          <w:b/>
        </w:rPr>
        <w:t>E. 2</w:t>
      </w:r>
    </w:p>
    <w:p>
      <w:r>
        <w:t>Der Gesuchsgegner sei nicht zu verpflichten, der Gesuchstellerin eine Parteientschädigung von CHF 950.00 zu bezahlen;</w:t>
      </w:r>
    </w:p>
    <w:p>
      <w:r>
        <w:rPr>
          <w:b/>
        </w:rPr>
        <w:t>E. 3</w:t>
      </w:r>
    </w:p>
    <w:p>
      <w:r>
        <w:t>Es sei diese Berufung zusammen mit der Berufung Geschäfts-Nr.: LY160014-O/Z01 zu behandeln.</w:t>
      </w:r>
    </w:p>
    <w:p>
      <w:r>
        <w:rPr>
          <w:b/>
        </w:rPr>
        <w:t>E. 4</w:t>
      </w:r>
    </w:p>
    <w:p>
      <w:r>
        <w:t>a) Für das Beschwerdeverfahren beträgt der Streitwert Fr. 27'000.--. Die zweitinstanzliche Entscheidgebühr ist in Anwendung von Art. 48 i.V.m. Art. 61 Abs. 1 GebV SchKG (vgl. ZR 110/2011 Nr. 28) auf Fr. 500.-- festzusetzen. b) Die Gerichtskosten des Beschwerdeverfahrens sind ausgangsgemäss dem unterliegenden Gesuchsgegner aufzuerlegen (Art. 106 Abs. 1 ZPO). c) Für das Beschwerdeverfahren sind keine Parteientschädigungen zuzu- sprechen, dem Gesuchsgegner zufolge seines Unterliegens, der Gesuchstellerin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