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RT160046 vom 22. Juni 2016</w:t>
      </w:r>
    </w:p>
    <w:p>
      <w:r>
        <w:t>ZH Obergericht, 2016-06-22, DE</w:t>
      </w:r>
    </w:p>
    <w:p>
      <w:r>
        <w:rPr>
          <w:b/>
        </w:rPr>
        <w:t xml:space="preserve">Quelle: </w:t>
      </w:r>
      <w:r>
        <w:t>https://mcp.opencaselaw.ch/entscheid/zh_obergericht_RT160046</w:t>
      </w:r>
    </w:p>
    <w:p>
      <w:r>
        <w:t>FR: ZH_OBERGERICHT RT160046 du 22 juin 2016</w:t>
      </w:r>
    </w:p>
    <w:p>
      <w:r>
        <w:t>IT: ZH_OBERGERICHT RT160046 del 22 giugno 2016</w:t>
      </w:r>
    </w:p>
    <w:p>
      <w:pPr>
        <w:pStyle w:val="Heading2"/>
      </w:pPr>
      <w:r>
        <w:t>Erwägungen</w:t>
      </w:r>
    </w:p>
    <w:p>
      <w:r>
        <w:rPr>
          <w:b/>
        </w:rPr>
        <w:t>E. 1</w:t>
      </w:r>
    </w:p>
    <w:p>
      <w:r>
        <w:t>Die Parteien standen sich vor dem Einzelgericht Audienz am Bezirksgericht Zürich (Vorinstanz) in einem Rechtsöffnungsverfahren gegenüber. Der Gesuch- steller und Beschwerdeführer (fortan: Gesuchsteller) verlangte in der Betreibung Nr. ... des Betreibungsamtes Zürich 9 vom 25. November 2015 definitive Rechts- öffnung für den Betrag von Fr. 300'000.– nebst Zins zu 5% seit dem 15. September 2015, den Betreibungskosten von Fr. 241.90 sowie Fr. 600.– an Gerichtsgebühren aus den Verfahren vor dem Einzelgericht am Bezirksgericht Zü- rich (FV130039-L) und vor dem Friedensrichteramt 3 + 9 der Stadt Zürich (GV.2014.00137), welche dem Gesuchsgegner und Beschwerdegegner (fortan: Gesuchsgegner) auferlegt, indessen vom Kostenvorschuss des Gesuchstellers bezogen wurden (Urk. 1). Die in Betreibung gesetzte Hauptforderung von Fr. 300'000.– setzt sich zusammen aus den Vergleichssummen der in den soeben erwähnten Verfahren geschlossenen Vergleiche. Gegenstand dieser Ver- fahren war die Rückzahlung eines Darlehens bzw. zweier Darlehen. Im Verfahren FV130039-L vor Bezirksgericht wurde vergleichsweise am 3. Juli 2013 eine Ver- gleichssumme von Fr. 50'000.– vereinbart, zahlbar in fünf jährlichen Raten à Fr. 10'000.–, wobei die erste Rate am 1. Juli 2015 fällig wurde (Urk. 4/2). Das Ver- fahren GV.2014.00137 vor dem Friedensrichter endete mit Vergleich vom 6. Mai 2014, in welchem eine Vergleichssumme von Fr. 250'000.– vereinbart wurde, zahlbar in jährlichen Raten à Fr. 10'000.–, wovon die erste am 1. Juli 2020 fällig wird (Urk. 4/3). In den Vergleich vom 6. Mai 2014 (Verfahren GV.2014.00137) wurde ausserdem folgende Gesamtverfallsklausel aufgenommen (Urk. 4/3): "Kommt die beklagte Partei 2 [der Gesuchsgegner] mit der jährlichen Ratenzah- lung (ebenso Forderung aus FV130039-L) in Verzug, so wird die gesamte Forde- rung fällig." Die Auslegung dieser Gesamtverfallsklausel ist Gegenstand des Beschwerdever- fahrens. Es geht um die Frage, ob der Verzug mit einer Rate des Vergleichs aus</w:t>
      </w:r>
    </w:p>
    <w:p>
      <w:r>
        <w:t>- 3 - dem Verfahren FV130039-L (Fr. 50'000.–) lediglich den Gesamtverfall der Ver- gleichssumme von Fr. 50'000.– oder bloss der Vergleichssumme von Fr. 250'000.– (aus GV.2014.00137) oder aber beider Vergleichssummen bewirkt. Die Vorinstanz erkannte im Urteil vom 9. Februar 2016 aufgrund einer Auslegung nach dem Vertrauensprinzip auf Gesamtverfall der Vergleichssumme von Fr. 50'000.– (Urk. 13 S. 4 ff.).</w:t>
      </w:r>
    </w:p>
    <w:p>
      <w:r>
        <w:rPr>
          <w:b/>
        </w:rPr>
        <w:t>E. 1.1</w:t>
      </w:r>
    </w:p>
    <w:p>
      <w:r>
        <w:t>Der Gesuchsteller ficht nicht die Höhe, sondern die Verteilung der Kosten des erstinstanzlichen Verfahrens an, und verlangt eine angemessene Parteient- schädigung für das erstinstanzliche Verfahren (Urk. 12 S. 2).</w:t>
      </w:r>
    </w:p>
    <w:p>
      <w:r>
        <w:rPr>
          <w:b/>
        </w:rPr>
        <w:t>E. 1.2</w:t>
      </w:r>
    </w:p>
    <w:p>
      <w:r>
        <w:t>Infolge teilweiser Gutheissung der Beschwerde obsiegt der Gesuchsteller mit Bezug auf das vor Vorinstanz strittige Rechtsbegehren zu etwa 13/15. Dem- entsprechend sind die Kosten des erstinstanzlichen Verfahrens von Fr. 1'000.– ausgangsgemäss zu 13/15 (Fr. 865.–) dem Gesuchsgegner und zu 2/15 (Fr. 135.–) dem Gesuchsteller aufzuerlegen (Art. 106 Abs. 1 ZPO). Da unbean- standet geblieben, sind mit der Vorinstanz (Urk. 13 S. 6) auch die dem Gesuchs- gegner auferlegten Kosten vom Gesuchsteller zu beziehen und der Gesuchsgeg- ner ist zu verpflichten, dem Gesuchsteller diese zu ersetzen.</w:t>
      </w:r>
    </w:p>
    <w:p>
      <w:r>
        <w:rPr>
          <w:b/>
        </w:rPr>
        <w:t>E. 1.3</w:t>
      </w:r>
    </w:p>
    <w:p>
      <w:r>
        <w:t>Sodann ist dem Gesuchsteller für das erstinstanzliche Verfahren eine aus- gangsgemäss auf 11/15 (13/15 abzüglich 2/15) reduzierte Parteientschädigung zuzusprechen. Die volle Parteientschädigung ist in Anwendung von § 4 Abs. 1 i.V.m. § 9 Abs. 1 AnwGebV auf Fr. 3'880.– (zzgl. 8% Mehrwertsteuer) festzuset- zen. Dementsprechend hat der Gesuchsgegner dem Gesuchsteller für das erstin- stanzliche Verfahren eine reduzierte Parteientschädigung von Fr. 2'845.– zzgl. 8% Mehrwertsteuer, gesamthaft also Fr. 3'072.60 zu bezahlen.</w:t>
      </w:r>
    </w:p>
    <w:p>
      <w:r>
        <w:t>- 15 -</w:t>
      </w:r>
    </w:p>
    <w:p>
      <w:r>
        <w:rPr>
          <w:b/>
        </w:rPr>
        <w:t>E. 2</w:t>
      </w:r>
    </w:p>
    <w:p>
      <w:r>
        <w:t>Hinsichtlich des vorinstanzlichen Verfahrensgangs ist auf die Erwägungen im angefochtenen Entscheid zu verweisen (Urk. 13 S. 2). Der Gesuchsgegner holte zwar die Vorladung und die Verschiebungsanzeige ab, erschien jedoch nicht zur Verhandlung vom 9. Februar 2016. Der angefochtene Entscheid konnte ihm nicht zugestellt werden, da er diesen nicht abholte (Urk. 11a, 11b und 11c; Prot. I S. 3). Der Gesuchsteller nahm das Urteil vom 9. Februar 2016 am 1. März 2016 in Empfang (Urk. 10).</w:t>
      </w:r>
    </w:p>
    <w:p>
      <w:r>
        <w:rPr>
          <w:b/>
        </w:rPr>
        <w:t>E. 2.1</w:t>
      </w:r>
    </w:p>
    <w:p>
      <w:r>
        <w:t>Im Beschwerdeverfahren war noch der Betrag von Fr. 250'000.– umstritten. Der Gesuchsteller obsiegte diesbezüglich im Umfang von Fr. 210'000.–, entspre- chend 21/25. Die Entscheidgebühr ist in Anwendung von Art. 48 und Art. 61 Abs. 1 GebV SchKG auf Fr. 1'500.– festzusetzen und zu 21/25 (Fr. 1'260.–) dem Gesuchsgegner und zu 4/25 (Fr. 240.–) dem Gesuchsteller aufzuerlegen. Sie ist vollumfänglich aus dem vom Gesuchsteller geleisteten Kostenvorschuss zu be- ziehen und der Gesuchsgegner ist zu verpflichten, dem Gesuchsteller die ihm auferlegten, aber aus dem Kostenvorschuss bezogenen Gerichtsgebühren zu er- setzen.</w:t>
      </w:r>
    </w:p>
    <w:p>
      <w:r>
        <w:rPr>
          <w:b/>
        </w:rPr>
        <w:t>E. 2.2</w:t>
      </w:r>
    </w:p>
    <w:p>
      <w:r>
        <w:t>Antragsgemäss ist der Gesuchsgegner sodann zu verpflichten, dem Ge- suchsteller für das Beschwerdeverfahren eine auf 17/25 reduzierte Parteient- schädigung zu bezahlen. Die volle Parteientschädigung ist in Anwendung von § 4 Abs. 1 i.V.m. § 9 Abs. 1 und § 13 Abs. 1 und 2 AnwGebV auf Fr. 2'020.– (zzgl. 8% Mehrwertsteuer) festzusetzen. Folglich hat der Gesuchsgegner dem Gesuch- steller für das zweitinstanzliche Verfahren eine reduzierte Parteientschädigung von Fr. 1'375.– zzgl. 8% Mehrwertsteuer, insgesamt also Fr. 1'485.– zu bezahlen. Es wird erkannt:</w:t>
      </w:r>
    </w:p>
    <w:p>
      <w:r>
        <w:rPr>
          <w:b/>
        </w:rPr>
        <w:t>E. 2.3</w:t>
      </w:r>
    </w:p>
    <w:p>
      <w:r>
        <w:t>Inwiefern das rechtliche Gehör verletzt worden sein soll, ist nicht ersichtlich. Soweit der Gesuchsteller die Ansicht vertritt, die Vorinstanz hätte ihm an der Ver- handlung die Gelegenheit zur Vervollständigung seiner Vorbringen geben müs- sen, irrt er. Im summarischen Verfahren ist nur ein Vortrag bzw. eine Rechtsschrift pro Partei vorgesehen (Art. 253 ZPO). Ein Anspruch zu einem weiteren Vortrag besteht nur, soweit dies das Replikrecht erheischt. Sofern die beklagte Partei sich nicht vernehmen lässt, besteht deshalb auch kein Anspruch auf eine weitere Äusserung. Das rechtliche Gehör wurde von der Vorinstanz deshalb nicht verletzt. Richtig ist, dass dem Gesuchsteller die Möglichkeit zur Replik gegeben worden wäre, wenn der Gesuchsgegner einen übereinstimmenden wirklichen Willen be-</w:t>
      </w:r>
    </w:p>
    <w:p>
      <w:r>
        <w:t>- 9 - stritten hätte. Aufgrund der fehlenden Behauptung eines solchen hätte aber für den Gesuchsgegner auch kein Anlass bestanden, diesen zu bestreiten. Insofern zielt der Gesuchsteller mit dieser Argumentation ins Leere. Dass die Vorinstanz, wäre der Gesuchsgegner erschienen, dem Gesuchsteller "nicht vorgehalten" hät- te, keinen übereinstimmenden wirklichen Willen behauptet zu haben, ist Spekula- tion und geht an der Sache vorbei. Die Vorinstanz hat die Vorbringen des Ge- suchstellers richtig gewürdigt. Schliesslich ist der Gesuchsteller auf die Eventu- almaxime hinzuweisen, wonach entgegen seiner Rechtsauffassung die Alterna- tivargumentationen soweit möglich und zumutbar schon von Anfang an vorzutra- gen sind. Art. 132 Abs. 2 ZPO steht dazu nicht im Widerspruch, sondern bezieht sich auf weitschweifige Eingaben, welche dieselben Argumente immer wieder in anderer Form wiederholen oder zahlreiche nicht relevante Ausführungen enthal- ten. Soweit in einer Eingabe aber neue Argumente oder Tatsachen vorgetragen werden, ist diese nicht als weitschweifig zu bezeichnen.</w:t>
      </w:r>
    </w:p>
    <w:p>
      <w:r>
        <w:rPr>
          <w:b/>
        </w:rPr>
        <w:t>E. 3</w:t>
      </w:r>
    </w:p>
    <w:p>
      <w:r>
        <w:t>Alles unter Kosten- und Entschädigungsfolgen (zuzüglich Mehr- wertsteuer) zu Lasten des Beschwerdegegners." Am 8. April 2016 ging der dem Gesuchsteller auferlegte Kostenvorschuss von Fr. 1'500.– innert Frist ein (Urk. 17 und 18). Daraufhin wurde dem Gesuchsgegner mit Verfügung vom 18. April 2016 Frist zur Beantwortung der Beschwerde ange- setzt (Urk. 19).</w:t>
      </w:r>
    </w:p>
    <w:p>
      <w:r>
        <w:t>- 4 -</w:t>
      </w:r>
    </w:p>
    <w:p>
      <w:r>
        <w:rPr>
          <w:b/>
        </w:rPr>
        <w:t>E. 3.1</w:t>
      </w:r>
    </w:p>
    <w:p>
      <w:r>
        <w:t>Der Gesuchsteller beanstandet weiter, die Vorinstanz habe den Ver- gleichstext nach dem Vertrauensprinzip falsch ausgelegt. Der Gesuchsteller stellt zunächst die folgende – grammatikalische – Auslegung an: Die Stellung der Klammerbemerkung "(ebenso Forderung aus FV130039-L)" zwischen den Satz- teilen "Kommt die beklagte Partei 2 mit der jährlichen Ratenzahlung" und "in Ver- zug, […]" lasse klar erkennen, dass die Klammerbemerkung sich auf die Raten- zahlung beziehe. Die Regelung solle also ebenso für die Ratenzahlung der Forde- rung aus dem Verfahren FV130039-L gelten. Die Ziffer 2 des Vergleichs sei also wie folgt zu lesen: Kommt der Gesuchsgegner mit der jährlichen Ratenzahlung der in Ziffer 1 genannten Fr. 250'000.– oder mit der Ratenzahlung der Forderung aus dem Verfahren FV130039-L in Verzug, so wird die gesamte Forderung fällig (Urk. 12 Rz 19). Fraglich sei, was unter "die gesamte Forderung" zu verstehen sei. Es könne nicht auf die Verwendung des Singulars für den Begriff "Forderung" abgestellt werden, um abzuleiten, es sei nur eine Forderung gemeint. Nach dem allgemeinen Sprachgebrauch müssten unter "die gesamte Forderung" all jene Positionen verstanden werden, welche die eine Partei der anderen noch schulde, mithin die gesamten Fr. 300'000.– (Urk. 12 Rz 20). Sofern jedoch nur eine Forde- rung gemeint wäre – also entweder die über Fr. 50'000.– oder die über</w:t>
      </w:r>
    </w:p>
    <w:p>
      <w:r>
        <w:t>- 10 - Fr. 250'000.–, müsste entgegen der Auffassung der Vorinstanz die Schuld in der Höhe von Fr. 250'000.– gemeint sein, denn im Verfahren GV.2014.00137 vor dem Friedensrichter [diesem entstammt der Vergleich mit der Gesamtverfallsklausel] sei es um die Regelung der Schuld über Fr. 250'000.– gegangen (Urk. 12 Rz 22). Die Auslegung der Vorinstanz, wonach bei Verzug mit einer Rate der Forderung über Fr. 50'000.– nur diese Forderung fällig werde, sei mit dem Satzbau von Ziffer 2 des Vergleichs nicht vereinbar. Diesfalls hätte die Klammerbemerkung am Satzende stehen müssen (Urk. 12 Rz 23).</w:t>
      </w:r>
    </w:p>
    <w:p>
      <w:r>
        <w:rPr>
          <w:b/>
        </w:rPr>
        <w:t>E. 3.2</w:t>
      </w:r>
    </w:p>
    <w:p>
      <w:r>
        <w:t>Der strittige Vergleich lautet wie folgt (Urk. 4/3): "1. Die beklagte Partei 2 anerkennt den Forderungsbetrag von CHF 250'000.00 und verpflichtet sich, diese Summe in jährlichen Raten à CHF 10'000, die 1. Rate ist fällig am 1. Juli 2020, an die klagen- de Partei zu bezahlen. 2. Kommt die beklagte Partei 2 mit der jährlichen Ratenzahlung (ebenso Forderung aus FV130039-L) in Verzug, so wird die ge- samte Forderung fällig. 3. Mit der Bezahlung sämtlicher Raten sind die Parteien in dieser Angelegenheit per Saldo aller Ansprüche auseinandergesetzt. 4. Die Parteien übernehmen die Kosten des Schlichtungsverfahrens von CHF 600.00 je zur Hälfte, diese werden jedoch einstweilen von der klagenden Partei bezogen."</w:t>
      </w:r>
    </w:p>
    <w:p>
      <w:r>
        <w:rPr>
          <w:b/>
        </w:rPr>
        <w:t>E. 3.3</w:t>
      </w:r>
    </w:p>
    <w:p>
      <w:r>
        <w:t>Liest man den Satz aus Ziffer 2 – ohne Klammerbemerkung – im Zusam- menhang mit Ziffer 1, besteht kein Zweifel darüber, dass die gesamte Forderung über Fr. 250'000.– fällig wird, wenn der Gesuchsgegner mit einer Ratenzahlung für die Forderung über Fr. 250'000.– in Verzug gerät. Zu prüfen ist, in welcher Form die Klammerbemerkung eine Verknüpfung mit der Forderung aus dem Ver- fahren FV130039-L über Fr. 50'000.–, zahlbar ab dem 1. Juli 2015 in jährlichen Raten zu Fr. 10'000.–, herstellt. Denkbar sind drei Varianten. Erstens: Die Klammerbemerkung bezieht sich auf den Gesamtverfallsmechanis- mus als solchen und will einen solchen nachträglich auch für die Forderung über Fr. 50'000.– vereinbaren. Für die Forderung über Fr. 250'000.– und für diejenige über Fr. 50'000.– würden demnach zwei unabhängig voneinander funktionierende Gesamtverfallsmechanismen gelten; ein Verzug in der Ratenzahlung für die eine</w:t>
      </w:r>
    </w:p>
    <w:p>
      <w:r>
        <w:t>- 11 - Forderung führte bloss zu deren, ein Verzug in der Ratenzahlung für die andere Forderung bloss zu jener Gesamtfälligkeit. Dies entspricht der Auslegung der Vor- instanz. Die Stellung der Klammerbemerkung im Satz lässt sich jedoch nicht mit dieser Auslegung vereinbaren. Hätte der gesamte Mechanismus übernommen werden wollen, müsste die Klammerbemerkung erst am Satzende stehen, denn nur so würde sie sich auf den Mechanismus als solchen beziehen. Zweitens: Die Klammerbemerkung bezieht sich auf die Ratenzahlungen und will die Ratenzahlungen für die Forderung aus dem Verfahren FV130039-L auch in den Gesamtverfallsmechanismus für die Fr. 250'000.– einbeziehen. Der "Auslö- ser" für den Gesamtverfall ist somit ein Verzug mit einer Rate für die Forderung über Fr. 250'000.– oder für die Forderung über Fr. 50'000.–. Mit dem Begriff "die gesamte Forderung" ist hingegen (bloss) der in Ziffer 1 umschriebene Forde- rungsbetrag von Fr. 250'000.– gemeint. Durch den Verzug herbeigeführt würde mithin nur der Gesamtverfall der im fraglichen Vergleich selbst vereinbarten Summe von Fr. 250'000.–. Drittens: Die Klammerbemerkung bezieht sich auf die Ratenzahlungen und will die Ratenzahlungen für die Forderung aus dem Verfahren FV130039-L auch in den Gesamtverfallsmechanismus einbeziehen. Mit dem Begriff "die gesamte For- derung" sind sämtliche zwischen den Parteien offene Schulden bzw. zumindest die Forderung aus dem früheren Verfahren FV130039-L über Fr. 50'000.– und die in Ziffer 1 vereinbarte Forderung über Fr. 250'000.– gemeint. Die Stellung des Klammerbegriffs im Satzbau, direkt anschliessend an den Begriff "jährliche Ratenzahlung", lässt, wie erwähnt, keine andere Lesart zu, als dass sich die Klammerbemerkung auf die jährliche Ratenzahlung bezieht, auch wenn der Wortlaut der Klammerbemerkung selbst sprachliche Präzision missen lässt – treffender wäre gewesen: ebenso für Forderung aus FV130039-L. Nach Treu und Glauben ist Ziffer 2 folglich so auszulegen, dass der (im zweiten Satzteil verein- barte) Gesamtverfallsmechanismus ausgelöst wird, sobald der Gesuchsgegner mit einer Ratenzahlung für die Forderung über Fr. 50'000.– oder über Fr. 250'000.– in Verzug gerät.</w:t>
      </w:r>
    </w:p>
    <w:p>
      <w:r>
        <w:t>- 12 - Mit Bezug auf die Auslegung des Begriffs "die gesamte Forderung" ist der Vor- instanz beizupflichten, dass die Verwendung des Singulars grundsätzlich aus- schliesst, dass beide Forderungen gemeint sein könnten. Auch die Verwendung des Begriffs "gesamt" vermag daran nichts zu ändern, denn dieser dient bloss der Abgrenzung einer einzelnen Ratenzahlung bzw. von mehreren aufgelaufenen Ra- tenzahlungen von dem in Ziffer 1 vereinbarten Forderungsbetrag von Fr. 250'000.–. Es ist zwar nicht auszuschliessen, dass die Parteien (oder zumin- dest der Gesuchsteller) in Wirklichkeit vereinbaren wollten, der Gesamtbetrag von Fr. 300'000.– würde im Verzugsfall fällig. Dies darf jedoch bei einer Auslegung nach dem Vertrauensprinzip keine Rolle spielen und ein entsprechender überein- stimmender wirklicher Wille wurde eben gerade nicht rechtzeitig behauptet. Die Parteien hätten diesfalls anstelle des Begriffs "die gesamte Forderung" eine ge- nauere Umschreibung wie etwa "der gesamte Betrag von Fr. 300'000.–", "die ge- samte Forderung gemäss Ziffer 1 sowie aus FV130039-L" oder zumindest "die gesamten Forderungen" verwenden können. Bei der gewählten Formulierung führt die Auslegung nach dem Vertrauensprinzip – jedenfalls die grammatikali- sche – zum Ergebnis, dass bloss die in Ziffer 1 des Vergleichs umschriebene Forderung mit "die gesamte Forderung" gemeint gewesen sein kann.</w:t>
      </w:r>
    </w:p>
    <w:p>
      <w:r>
        <w:rPr>
          <w:b/>
        </w:rPr>
        <w:t>E. 3.4</w:t>
      </w:r>
    </w:p>
    <w:p>
      <w:r>
        <w:t>Der Gesuchsteller trägt nebst den grammatikalischen noch weitere Argu- mente für die Auslegung vor, dass mit "die gesamte Forderung" der Betrag von Fr. 300'000.– gemeint sei. Zum einen spreche die Saldoklausel in Ziffer 3 dafür, denn die Parteien seien erst vollständig auseinandergesetzt, wenn die gesamte Schuld von Fr. 300'000.– getilgt sei (Urk. 12 Rz 22). Richtig ist zwar, dass damit wohl auch die Raten aus dem ersten Vergleich gemeint sein müssen. Dieses Ar- gument verfängt aber trotzdem nicht, denn die Bezahlung aller Raten aus dem ei- nen und dem anderen Vergleich führt sowieso zur vollständigen Auseinanderset- zung der Parteien, auch wenn der Verzug mit einer Rate nicht zum Gesamtverfall aller Raten aus beiden Vergleichen führt. Zum andern argumentiert der Gesuch- steller, die Zahlungstermine der Ratenzahlung der Schuld über Fr. 250'000.– sei an die Termine der Ratenzahlung für die Schuld von Fr. 50'000.– angepasst wor- den, sodass die erste Rate der Schuld von Fr. 250'000.– fällig werde, wenn die andere Schuld abbezahlt sei. Daraus lasse sich eine Kopplung der beiden Schul-</w:t>
      </w:r>
    </w:p>
    <w:p>
      <w:r>
        <w:t>- 13 - den ableiten. Die Gesamtverfallsklausel habe der Absicherung gedient, da durch die Festsetzung der ersten Ratenzahlung der Fr. 250'000.– auf den 1. Juli 2020 ein grosszügiger Zahlungsaufschub gewährt worden sei (Urk. 12 Rz 24). Diese Argumention stellt auf Beweggründe für den Vergleichsabschluss ab, welche der Gesuchsteller vor Vorinstanz noch nicht geltend gemacht hat. Da im Beschwer- deverfahren ein Novenverbot gilt, dürfen diese nicht beachtet werden. Im Übrigen ist auch diese Argumentation nicht schlüssig, denn ein erhöhter bzw. zusätzlicher Sicherungsbedarf besteht nur hinsichtlich der Forderung über Fr. 250'000.–, de- ren Rückzahlung über sechs Jahre aufgeschoben wurde. Mit Bezug auf die For- derung von Fr. 50'000.– war der Gesuchsteller offenbar zunächst bereit, auf eine Gesamtverfallsklausel zu verzichten. Damit aber bleibt es beim Ergebnis der grammatikalischen Auslegung des Vergleichstextes (vgl. oben Ziff. 3.3). 4. Zusammenfassend führt die Auslegung der beiden als Rechtsöffnungstitel angerufenen Vergleiche (Urk. 4/2 und 4/3) nach dem Vertrauensprinzip dazu, dass durch den (unbestritten gebliebenen) Verzug des Gesuchsgegners mit der ersten Ratenzahlung für die Forderung aus FV130039-L (Fr. 50'000.–) die gesam- ten Forderung von Fr. 250'000.– aus dem zweiten Vergleich fällig wurde. 5. Es ist somit jedenfalls für den Betrag von Fr. 250'000.– samt Zins zu 5% ab dem 15. September 2015 (Ablauf der mit Schreiben vom 1. September 2015 an- gesetzten Zahlungsfrist, Urk. 4/5) definitive Rechtsöffnung zu erteilen, zumal die- ser Betrag auf einem gerichtlichen Vergleich im Sinne von Art. 80 Abs. 2 Ziff. 1 SchKG beruht und keine Einwendungen im Sinne von Art. 81 SchKG geltend ge- macht wurden. Fraglich ist indessen, ob auch für die erste, unbestrittenermassen am 1. Juli 2015 fällig gewordene Ratenzahlung für die Forderung von Fr. 50'000.– definitive Rechtsöffnung erteilt werden kann. Ein entsprechender spezifischer Eventualantrag des Gesuchstellers fehlt. Hingegen umfasst sein Rechtsbegehren, mit welchem er Rechtsöffnung für den Gesamtbetrag von Fr. 300'000.– verlangt, auch die erste Ratenzahlung. Deshalb ist auch für die erste Ratenzahlung von Fr. 10'000.– samt Zins zu 5% ab dem 15. September 2015 definitive Rechtsöff- nung zu erteilen. Schliesslich verlangt der Gesuchsteller auch Rechtsöffnung für die im Verfahren GV.2014.00137 vor dem Friedensrichter und FV130039-L vor</w:t>
      </w:r>
    </w:p>
    <w:p>
      <w:r>
        <w:t>- 14 - dem Bezirksgericht dem Gesuchsgegner auferlegten, aber vom Gesuchsteller be- zogenen Gerichtskosten von insgesamt Fr. 600.– (Urk. 12 Rz 25). Nachdem die Vorinstanz diesbezüglich bereits definitive Rechtsöffnung erteilt hat (Urk. 13 S. 6), gebietet das Verbot der reformatio in peius, nicht zum Nachteil des Gesuchstel- lers davon abzuweichen. Bereits aus diesem Grund ist auch für die Fr. 600.– defi- nitive Rechtsöffnung zu erteilen. Zusammenfassend ist also in teilweiser Gutheis- sung der Beschwerde Dispositivziffer 2 des angefochtenen Urteils aufzuheben und dem Gesuchsteller für den Betrag von Fr. 260'000.– nebst Zins zu 5% seit dem 15. September 2015 sowie den Betrag von Fr. 600.– definitive Rechtsöff- nung zu erteilen. III. Kosten- und Entschädigungsfolgen</w:t>
      </w:r>
    </w:p>
    <w:p>
      <w:r>
        <w:rPr>
          <w:b/>
        </w:rPr>
        <w:t>E. 4</w:t>
      </w:r>
    </w:p>
    <w:p>
      <w:r>
        <w:t>Der erste Versuch vom 26. April 2016, diese Verfügung per Einschreiben zuzustellen, scheiterte, weil der Gesuchsgegner diese bei der Post nicht abholte (Urk. 20). Am 11. Mai 2016 unternahm der mitwirkende Gerichtsschreiber einen persönlichen Zustellversuch an der Wohnadresse des Gesuchsgegners. Dabei konnte der Gesuchsgegner nicht angetroffen werden, indessen verweigerte der im gleichen Haushalt wohnende C._____ die Annahme der Urkunden, obwohl er darauf hingewiesen wurde, dass dies zu einer Zustellfiktion führen könne (Urk. 21). 5.1. Der Gesuchsgegner hat somit tatsächlich keine Kenntnis vom Inhalt der Ver- fügung vom 18. April 2016. Es ist jedoch zu prüfen, ob ihm der Erhalt der Verfü- gung aufgrund einer Zustellfiktion dennoch zuzurechnen ist. Zunächst kann eine Zustellfiktion am siebten Tag nach dem erfolglosen Zustellversuch eintreten, wenn eine eingeschriebene Postsendung nicht abgeholt worden ist. Dafür ist al- lerdings vorausgesetzt, dass die Person mit einer Zustellung rechnen musste (Art. 138 Abs. 3 lit. a ZPO). Dies ist regelmässig der Fall in einem bestehenden Prozessrechtsverhältnis, sofern die letzte gerichtliche Zustellung nicht sehr lange zurückliegt (ZK ZPO-Staehelin, N 9 zu Art. 138). Vorliegend hatte der Gesuchs- gegner Kenntnis vom erstinstanzlichen Verfahren sowie von der Verhandlung vom 9. Februar 2016, zu welcher er aber nicht erschienen ist. Die Vorladung bzw. die Verschiebungsanzeige dazu nahm er am 25. Januar 2016 in Empfang (Urk. 11b und 11c). Obwohl er nicht an der Verhandlung teilnahm, war voraus- sehbar, dass in der Folge ein Urteil ergehen und ihm zugestellt würde. Es spielt deshalb grundsätzlich keine Rolle, dass er das Urteil nicht in Empfang genommen hat. Der Gesuchsgegner hätte folglich auch damit rechnen können, dass die Ge- genpartei gegen ein allfälliges Urteil ein Rechtsmittel einlegen würde. Entspre- chend musste der Gesuchsgegner im Zeitpunkt des ersten Zustellversuchs vom 26. April 2016 noch mit der Zustellung von Urkunden der Rechtsmittelinstanz rechnen, zumal seit der Entgegennahme der Vorladung für die erstinstanzliche Verhandlung erst drei Monate verstrichen waren. Es kann folglich von einer Zu- stellfiktion im Sinne von Art. 138 Abs. 3 lit. a ZPO ausgegangen werden. Darnach würde die Verfügung am siebten Tag nach dem erfolglosen Zustellversuch, mithin am 3. Mai 2016, als zugestellt gelten.</w:t>
      </w:r>
    </w:p>
    <w:p>
      <w:r>
        <w:t>- 5 - 5.2. Aber auch die Annahmeverweigerung durch den Adressaten führt zur Fiktion der Zustellung am Tag der Weigerung, wenn dies von der überbringenden Person festgehalten wird (Art. 138 Abs. 3 lit. b ZPO). Die Zustellung gilt auch als erfolgt, wenn die Sendung von einer angestellten oder im gleichen Haushalt lebenden, mindestens 16 Jahre alten Person entgegengenommen wurde (Ersatzzustellung; Art. 138 Abs. 2 ZPO). Nach verbreiteter, jedoch nicht unumstrittener Lehrmeinung führt nicht nur die Annahmeverweigerung durch den Adressaten selbst, sondern auch durch eine andere, nach Art. 138 Abs. 2 ZPO zum Empfang berechtigte Person zur Zustellfiktion (Huber, DIKE-Komm-ZPO, Art. 138 N 41 und N 64 ff.; BK ZPO-Frei, Art. 138 N 31; ZK ZPO-A. Staehelin, Art. 138 N 10 ["auf Weisung"]; a.M.: KUKO ZPO-Weber, Art. 138 N 10; CPC-Bohnet, Art. 138 N 29; Strobel, Stämpflis Handkommentar, ZPO, Art. 138 N 27). Dem Gesetzestext folgend wäre zwar davon auszugehen, die Zustellfiktion trete nur bei Annahmeverweigerung im Falle persönlicher Zustellung ein. Eine Beschränkung auf die Fälle höchstpersön- licher Zustellung vereitelt indessen die mit der Zustellfiktion und der Ersatzzustel- lung verfolgten Zwecke (Vereinfachung und Beschleunigung des Zustellvor- gangs), ohne einen zusätzlichen Schutz für den Adressaten zu bewirken. Mit der Zulassung der Ersatzzustellung rechnet der Gesetzgeber nämlich ohnehin das Verhalten der Angestellten oder Hausgenossen dem Adressaten an. Er geht da- von aus, der Angestellte oder Hausgenosse verhalte sich redlich und im Interesse des Adressaten. Mit Bezug auf den Fall der Annahmeverweigerung durch Ange- stellte oder Hausgenossen ist aufgrund dieser Prämisse des Gesetzgebers davon auszugehen, diese würden im Interesse des Adressaten handeln bzw. diesen von der Annahmeverweigerung zumindest in Kenntnis setzen. Unterstellte man den Hausgenossen und Angestellten bösen Willen oder Nachlässigkeit, vermöchten sie dem Adressaten im Falle der Ersatzzustellung genau den gleichen Schaden anzurichten, wenn sie die entgegengenommene Sendung nicht weiterleiten, wie wenn sie die Annahme der Sendung gegen die Interessen des Adressaten ver- weigern und ihm die Verweigerung nicht kundtun. Aufgrund dieser Überlegungen muss auch die Annahmeverweigerung durch eine zum Empfang berechtigte Per- son eine Zustellfiktion zeitigen. Deshalb hat die Verfügung vom 18. April 2016 als Folge der Annahmeverweigerung durch den Hausgenossen des Gesuchsgeg-</w:t>
      </w:r>
    </w:p>
    <w:p>
      <w:r>
        <w:t>- 6 - ners, C._____, vom 10. Mai 2016 (Urk. 21) gestützt auf Art. 138 Abs. 3 lit. b i.V.m. Art. 138 Abs. 2 ZPO per 10. Mai 2016 als zugestellt zu gelten.</w:t>
      </w:r>
    </w:p>
    <w:p>
      <w:r>
        <w:rPr>
          <w:b/>
        </w:rPr>
        <w:t>E. 6</w:t>
      </w:r>
    </w:p>
    <w:p>
      <w:r>
        <w:t>Zusammenfassend ist dem Gesuchsgegner der Erhalt der Verfügung vom 18. April 2016 spätestens am 10. Mai 2016 zuzurechnen. Die darin angesetzte Frist endete dementsprechend am 20. Mai 2016. Nachdem sich der Gesuchsgeg- ner innert Frist nicht vernehmen liess, erweist sich das Verfahren als spruchreif. 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