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RT160035 vom 4. März 2016</w:t>
      </w:r>
    </w:p>
    <w:p>
      <w:r>
        <w:t>ZH Obergericht, 2016-03-04, DE</w:t>
      </w:r>
    </w:p>
    <w:p>
      <w:r>
        <w:rPr>
          <w:b/>
        </w:rPr>
        <w:t xml:space="preserve">Quelle: </w:t>
      </w:r>
      <w:r>
        <w:t>https://mcp.opencaselaw.ch/entscheid/zh_obergericht_RT160035</w:t>
      </w:r>
    </w:p>
    <w:p>
      <w:r>
        <w:t>FR: ZH_OBERGERICHT RT160035 du 4 mars 2016</w:t>
      </w:r>
    </w:p>
    <w:p>
      <w:r>
        <w:t>IT: ZH_OBERGERICHT RT160035 del 4 marzo 2016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Auf die Beschwerde ist daher nicht einzutreten, ohne dass eine Nachfrist anzusetzen wäre (Sutter-Somm/Hasenböhler/Leuenberger, Kommentar zur Schweizerischen Zivilprozessordnung, 3.A., 2016, N 34 f. zu Art. 311 ZPO i.V.m. N 14 zu Art. 321 ZPO).</w:t>
      </w:r>
    </w:p>
    <w:p>
      <w:r>
        <w:rPr>
          <w:b/>
        </w:rPr>
        <w:t>E. 4</w:t>
      </w:r>
    </w:p>
    <w:p>
      <w:r>
        <w:t>Umständehalber ist für das Beschwerdeverfahren auf die Erhebung von Ge- richtskosten zu verzichten. Sodann sind keine Parteientschädigungen zuzuspre- chen, der Gesuchsgegnerin zufolge ihres Unterliegens, den Gesuchstellern man- gels relevanter Umtriebe (Art. 106 Abs. 1 ZPO,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