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RT160022 vom 16. Februar 2016</w:t>
      </w:r>
    </w:p>
    <w:p>
      <w:r>
        <w:t>ZH Obergericht, 2016-02-16, DE</w:t>
      </w:r>
    </w:p>
    <w:p>
      <w:r>
        <w:rPr>
          <w:b/>
        </w:rPr>
        <w:t xml:space="preserve">Quelle: </w:t>
      </w:r>
      <w:r>
        <w:t>https://mcp.opencaselaw.ch/entscheid/zh_obergericht_RT160022</w:t>
      </w:r>
    </w:p>
    <w:p>
      <w:r>
        <w:t>FR: ZH_OBERGERICHT RT160022 du 16 février 2016</w:t>
      </w:r>
    </w:p>
    <w:p>
      <w:r>
        <w:t>IT: ZH_OBERGERICHT RT160022 del 16 febbraio 2016</w:t>
      </w:r>
    </w:p>
    <w:p>
      <w:pPr>
        <w:pStyle w:val="Heading2"/>
      </w:pPr>
      <w:r>
        <w:t>Erwägungen</w:t>
      </w:r>
    </w:p>
    <w:p>
      <w:r>
        <w:rPr>
          <w:b/>
        </w:rPr>
        <w:t>E. 5</w:t>
      </w:r>
    </w:p>
    <w:p>
      <w:r>
        <w:t>Februar 2016, mit welcher er im Wesentlichen die Anträge stellt, es seien die vorgenannten beiden Entscheide "ex tunc vollumfänglich nichtig zu erklären, voll- ständig kostenpflichtig aufzuheben und aus dem Recht zu weisen", es sei auf- schiebende Wirkung zu erteilen, "die Frist wiederherzustellen" und ihm unentgelt- liche Rechtspflege und -verbeiständung zu gewähren sowie es seien die Bezirks- richterin lic. iur. B._____ und der Ersatzrichter lic. iur. C._____ sowie die Ge- richtsschreiberinnen lic. iur. D._____ und lic. iur. E._____ in Ausstand zu verset- zen (Urk. 8 S. 2), nach Einsicht in die beigezogenen vorinstanzlichen Akten (Urk. 1-7), da mit dem heutigen Endentscheid das Gesuch um Erteilung der aufschie- benden Wirkung hinfällig ist, da der Gesuchsgegner mit keinem Wort angibt, welche Frist wiederherzu- stellen sei, weshalb hierauf nicht einzutreten ist, da die II. Zivilkammer des Obergerichts Zürich mit Beschluss vom 3. Sep- tember 2015 auf eine Beschwerde des Gesuchsgegners gegen den mit vorlie-</w:t>
      </w:r>
    </w:p>
    <w:p>
      <w:r>
        <w:t>- 3 - gender Beschwerde ebenfalls angefochtenen Entscheid der Vorinstanz vom 27. Juli 2015 ebensowenig eingetreten ist (Urk. 3/5b), was vom Bundesgericht mit Urteil vom 26. Oktober 2015 bestätigt wurde (Urk. 3/5c), weshalb auch insoweit auf die Beschwerde nicht einzutreten ist, da eine Beschwerde begründet einzureichen ist (Art. 321 Abs. 1 ZPO), wozu gehört, dass in der Beschwerde im Einzelnen dargelegt werden muss, was genau am angefochtenen Entscheid unrichtig sein soll, ansonsten jene Erwägungen von der Beschwerdeinstanz nicht überprüft zu werden brauchen und insofern grund- sätzlich Bestand haben, da der Gesuchsgegner in seiner Beschwerde in keiner Weise auf die Erwä- gungen in dem Entscheid des Bezirksgerichts Zürich vom 14. Januar 2016 Bezug nimmt und jene mit keinem Wort beanstandet, sondern lediglich seine Ausführun- gen vor Vorinstanz wiederholt (Urk. 8 S. 3f.), weshalb auch insoweit und damit insgesamt auf die Beschwerde nicht einzutreten ist, da nach dem Gesagten das Armenrechtsgesuch des Beklagten zufolge Aussichtslosigkeit der Beschwerde abzuweisen ist, da die Entscheidgebühr für das Beschwerdeverfahren nach Art. 48 i.V.m. Art. 61 Abs. 1 GebV SchKG auf Fr. 100.– zu bemessen ist, da die Gerichtskosten ausgangsgemäss dem Gesuchsgegner aufzuerlegen sind (Art. 106 Abs. 1 ZPO), da für das Beschwerdeverfahren dem Gesuchsgegner zufolge seines Un- terliegens und der Gesuchstellerin mangels relevanter Umtriebe keine Parteient- schädigung zuzusprechen ist (Art. 95 Abs. 3, Art. 106 Abs. 1 ZPO);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