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RT160010 vom 10. März 2016</w:t>
      </w:r>
    </w:p>
    <w:p>
      <w:r>
        <w:t>ZH Obergericht, 2016-03-10, DE</w:t>
      </w:r>
    </w:p>
    <w:p>
      <w:r>
        <w:rPr>
          <w:b/>
        </w:rPr>
        <w:t xml:space="preserve">Quelle: </w:t>
      </w:r>
      <w:r>
        <w:t>https://mcp.opencaselaw.ch/entscheid/zh_obergericht_RT160010</w:t>
      </w:r>
    </w:p>
    <w:p>
      <w:r>
        <w:t>FR: ZH_OBERGERICHT RT160010 du 10 mars 2016</w:t>
      </w:r>
    </w:p>
    <w:p>
      <w:r>
        <w:t>IT: ZH_OBERGERICHT RT160010 del 10 marzo 2016</w:t>
      </w:r>
    </w:p>
    <w:p>
      <w:pPr>
        <w:pStyle w:val="Heading2"/>
      </w:pPr>
      <w:r>
        <w:t>Erwägungen</w:t>
      </w:r>
    </w:p>
    <w:p>
      <w:r>
        <w:rPr>
          <w:b/>
        </w:rPr>
        <w:t>E. 1</w:t>
      </w:r>
    </w:p>
    <w:p>
      <w:r>
        <w:t>Mit Verfügung vom 6. Januar 2016 erliess die Vorderrichterin folgenden Entscheid (Urk. 10 S. 2): "1. Das Rechtsöffnungsverfahren in Betreibung Nr. …, Betreibungsamt Zürich 7, Zahlungsbefehl vom 2. Oktober 2015, wird infolge Anerkennung des Gesuchs abgeschrieben.</w:t>
      </w:r>
    </w:p>
    <w:p>
      <w:r>
        <w:rPr>
          <w:b/>
        </w:rPr>
        <w:t>E. 2</w:t>
      </w:r>
    </w:p>
    <w:p>
      <w:r>
        <w:t>Die Spruchgebühr von Fr. 350.– wird von der Gesuchstellerin bezogen, ist ihr aber vom Gesuchsgegner zu ersetzen.</w:t>
      </w:r>
    </w:p>
    <w:p>
      <w:r>
        <w:rPr>
          <w:b/>
        </w:rPr>
        <w:t>E. 3</w:t>
      </w:r>
    </w:p>
    <w:p>
      <w:r>
        <w:t>Der Gesuchsgegner wird verpflichtet, der Gesuchstellerin eine Parteientschädigung von Fr. 1'500.– zu bezahlen.</w:t>
      </w:r>
    </w:p>
    <w:p>
      <w:r>
        <w:rPr>
          <w:b/>
        </w:rPr>
        <w:t>E. 4</w:t>
      </w:r>
    </w:p>
    <w:p>
      <w:r>
        <w:t>(Schriftliche Mitteilung)</w:t>
      </w:r>
    </w:p>
    <w:p>
      <w:r>
        <w:rPr>
          <w:b/>
        </w:rPr>
        <w:t>E. 5</w:t>
      </w:r>
    </w:p>
    <w:p>
      <w:r>
        <w:t>Schriftliche Mitteilung an die Parteien, an die Gesuchstellerin unter Beilage eines Doppels von Urk. 9, sowie an die Vorinstanz, je gegen Empfangs- 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1'850.–. Die Beschwerde an das Bundesgericht hat keine aufschiebende Wirkung. Hinsichtlich des Fristenlaufs gelten die Art. 44 ff. BGG. Zürich, 10. März 2016 Obergericht des Kantons Zürich I. Zivilkammer Die Gerichtsschreiberin: lic. iur. P. Kunz Bucheli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