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RT160006 vom 27. April 2016</w:t>
      </w:r>
    </w:p>
    <w:p>
      <w:r>
        <w:t>ZH Obergericht, 2016-04-27, DE</w:t>
      </w:r>
    </w:p>
    <w:p>
      <w:r>
        <w:rPr>
          <w:b/>
        </w:rPr>
        <w:t xml:space="preserve">Quelle: </w:t>
      </w:r>
      <w:r>
        <w:t>https://mcp.opencaselaw.ch/entscheid/zh_obergericht_RT160006</w:t>
      </w:r>
    </w:p>
    <w:p>
      <w:r>
        <w:t>FR: ZH_OBERGERICHT RT160006 du 27 avril 2016</w:t>
      </w:r>
    </w:p>
    <w:p>
      <w:r>
        <w:t>IT: ZH_OBERGERICHT RT160006 del 27 aprile 2016</w:t>
      </w:r>
    </w:p>
    <w:p>
      <w:pPr>
        <w:pStyle w:val="Heading2"/>
      </w:pPr>
      <w:r>
        <w:t>Erwägungen</w:t>
      </w:r>
    </w:p>
    <w:p>
      <w:r>
        <w:rPr>
          <w:b/>
        </w:rPr>
        <w:t>E. 2</w:t>
      </w:r>
    </w:p>
    <w:p>
      <w:r>
        <w:t>Der Gesuchsgegner hat den ihm auferlegten Kostenvorschuss weder innert der mit Verfügung vom 8. März 2016 angesetzten Frist noch innerhalb der mit Verfügung vom 7. April 2016 angesetzten Nachfrist geleistet. Damit ist auf die Be- schwerde androhungsgemäss nicht einzutreten (Art. 101 Abs. 1 und 3 ZPO, Art. 59 Abs. 1 und 2 lit. f ZPO e contrario).</w:t>
      </w:r>
    </w:p>
    <w:p>
      <w:r>
        <w:rPr>
          <w:b/>
        </w:rPr>
        <w:t>E. 3</w:t>
      </w:r>
    </w:p>
    <w:p>
      <w:r>
        <w:t>Der Streitwert des Beschwerdeverfahrens beträgt Fr. 406.75. Die zweitin- stanzliche Entscheidgebühr ist in Anwendung von Art. 48 in Verbindung mit</w:t>
      </w:r>
    </w:p>
    <w:p>
      <w:r>
        <w:t>- 3 - Art. 61 Abs. 1 GebV SchKG auf Fr. 100.– festzusetzen und ausgangsgemäss dem Gesuchsgegner aufzuerlegen (Art. 106 Abs. 1 ZPO). Parteientschädigungen sind keine zuzusprechen, dem Gesuchsgegner zufolge seines Unterliegens nicht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