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RT160002 vom 4. April 2016</w:t>
      </w:r>
    </w:p>
    <w:p>
      <w:r>
        <w:t>ZH Obergericht, 2016-04-04, DE</w:t>
      </w:r>
    </w:p>
    <w:p>
      <w:r>
        <w:rPr>
          <w:b/>
        </w:rPr>
        <w:t xml:space="preserve">Quelle: </w:t>
      </w:r>
      <w:r>
        <w:t>https://mcp.opencaselaw.ch/entscheid/zh_obergericht_RT160002</w:t>
      </w:r>
    </w:p>
    <w:p>
      <w:r>
        <w:t>FR: ZH_OBERGERICHT RT160002 du 4 avril 2016</w:t>
      </w:r>
    </w:p>
    <w:p>
      <w:r>
        <w:t>IT: ZH_OBERGERICHT RT160002 del 4 aprile 2016</w:t>
      </w:r>
    </w:p>
    <w:p>
      <w:pPr>
        <w:pStyle w:val="Heading2"/>
      </w:pPr>
      <w:r>
        <w:t>Erwägungen</w:t>
      </w:r>
    </w:p>
    <w:p>
      <w:r>
        <w:rPr>
          <w:b/>
        </w:rPr>
        <w:t>E. 1</w:t>
      </w:r>
    </w:p>
    <w:p>
      <w:r>
        <w:t>a) Mit Eingabe vom 2. November 2015 stellte die Klägerin und Beschwer- deführerin (fortan Klägerin) das Begehren, es sei ihr in der Betreibung Nr. ... des Betreibungsamtes Pfäffikon ZH (Zahlungsbefehl vom 11. September 2015) provi- sorische Rechtsöffnung zu erteilen für Fr. 3'309.95 nebst 6 % Zins seit dem 16. Juli 2015, für Fr. 8'109.70 nebst 6 % Zins seit dem 10. August 2015, für Mahnspesen von Fr. 25.– sowie für die Betreibungskosten, unter Kosten- und Entschädigungsfolgen zu Lasten der Beklagten und Beschwerdegegnerin (fortan Beklagte; Urk. 1 und Urk. 3 i.V.m. Urk. 4/1). Mit Urteil vom 10. Dezember 2015 erteilte die Vorinstanz der Klägerin in der genannten Betreibung gestützt auf einen von beiden Parteien unterzeichneten Mietvertrag vom 12. Mai 2015 (Urk. 4/4) provisorische Rechtsöffnung für Fr. 3'309.95 nebst 6 % Zins seit 16. Juli 2015, für die Betreibungskosten sowie die Kosten gemäss den Dispositivziffern 2 bis 4 des Urteils. Im Mehrbetrag wurde das Rechtsöffnungsgesuch abgewiesen (Urk. 18). b) Mit fristgerechter Eingabe vom 12. Januar 2016 erhob die Klägerin Be- schwerde mit dem sinngemässen Antrag, das vorinstanzliche Rechtsöffnungsbe- gehren sei vollständig gutzuheissen (Urk. 17).</w:t>
      </w:r>
    </w:p>
    <w:p>
      <w:r>
        <w:rPr>
          <w:b/>
        </w:rPr>
        <w:t>E. 2</w:t>
      </w:r>
    </w:p>
    <w:p>
      <w:r>
        <w:t>a) Mit der Beschwerde können unrichtige Rechtsanwendung und offen- sichtlich unrichtige Feststellung des Sachverhalts geltend gemacht werden (Art. 320 ZPO). b) Die Klägerin führt in der Beschwerdeschrift aus, die Rechnung Nr. ... in der Höhe von Fr. 8'109.70 enthalte Reparaturkosten (Schäden nach Mieteinsatz der Beklagten), welche durch Grobfahrlässigkeit des Mieters (Beklagte) entstan- den seien. Die der Beschwerde beigelegten Bilder würden die diversen Schäden aufzeigen. Aus dem einseitigen Mailverkehr seien die Bemühungen auf ihrer Seite ersichtlich. Sie stelle daher den Antrag auf Rechtsöffnung (Urk. 17). Der erstinstanzliche Rechtsöffnungsrichter führte zur Rechnung der Klägerin vom 10. Juli 2015 über Fr. 8'109.70 (Urk. 4/2 S. 2) aus, dass sich dem vorliegen-</w:t>
      </w:r>
    </w:p>
    <w:p>
      <w:r>
        <w:t>- 3 - den Mietvertrag, inkl. Anhang, vom 12. Mai 2015 (Urk. 4/4) keine Bestimmung entnehmen lasse, welche eine unmittelbare Abwälzung von Reparaturkosten – ohne die vorgängige Benachrichtigung der Versicherung – auf den Mieter bzw. die Beklagte erlauben würde. Es sei lediglich eine Haftung für Schäden am Miet- objekt, welche bei normalem Gebrauch und ordnungsgemässer Pflege entstan- den seien, vereinbart worden und auch diesbezüglich nur in Höhe eines Selbst- behaltes von Fr. 2'000.– und nicht für die vollen Reparaturkosten. Eine vollständi- ge Überwälzung der Reparaturkosten wäre nur möglich, wenn der Schaden durch ein mut- bzw. böswilliges Verhalten der Beklagten verursacht worden wäre und dies gestützt auf Art. 41 OR und nicht gestützt auf den vorliegenden Mietvertrag. Im Übrigen sei vorliegend von vornherein gar nicht ersichtlich, um was für eine Art Schaden es sich handle bzw. ob die Beklagte dafür überhaupt einzustehen habe. Folglich stelle der vorliegende Mietvertrag vom 12. Mai 2015 für die von der Klä- gerin betriebenen Reparaturkosten des Mietobjekts in Höhe von Fr. 8'109.70 kei- nen provisorischen Rechtsöffnungstitel dar, weshalb das klägerische Rechtsöff- nungsbegehren diesbezüglich abzuweisen sei (Urk. 18 S. 7 E. 4.3 f.). c) Die Klägerin setzt sich im Beschwerdeverfahren nicht konkret mit den Er- wägungen des erstinstanzlichen Rechtsöffnungsrichters im angefochtenen Ent- scheid auseinander. Einzig zu behaupten, die Rechnung Nr. ... in der Höhe von Fr. 8'109.70 enthalte Reparaturkosten (Schäden nach Mieteinsatz der Beklagten), welche durch Grobfahrlässigkeit des Mieters (Beklagte) entstanden seien, genügt den Anforderungen an eine Beschwerdebegründung (Art. 321 Abs. 1 ZPO) nicht. Die Klägerin hätte ausführen müssen, wieso die obgenannten Erwägungen des erstinstanzlichen Richters nicht korrekt sind, bzw. dieser das Recht unrichtig an- gewandt und/oder den Sachverhalt offensichtlich unrichtig festgestellt habe. Fer- ner reichte die Klägerin den einseitigen Mailverkehr (Urk. 19/1) sowie die Fotos mit den von ihr geltend gemachten Beschädigungen (Urk. 19/2-3) erstmalig im Beschwerdeverfahren ein, weshalb diese aufgrund von Art. 326 Abs. 1 ZPO nicht berücksichtigt werden können. So sind gemäss Art. 326 Abs. 1 ZPO neue Be- weismittel im Beschwerdeverfahren ausgeschlossen.</w:t>
      </w:r>
    </w:p>
    <w:p>
      <w:r>
        <w:t>- 4 - Im Weiteren setzt sich die Klägerin nicht mit den vorinstanzlichen Erwägun- gen auseinander. Damit erweist sich die Beschwerde als offensichtlich unzuläs- sig. Es kann daher davon abgesehen werden, eine Beschwerdeantwort der Be- klagten oder eine Stellungnahme der Vorinstanz einzuholen (Art. 322 ZPO, Art. 324 ZPO). Auf die Beschwerde ist nicht einzutreten (BGer 5A_205/2015 vom 22.10.2015 E. 5.2.).</w:t>
      </w:r>
    </w:p>
    <w:p>
      <w:r>
        <w:rPr>
          <w:b/>
        </w:rPr>
        <w:t>E. 3</w:t>
      </w:r>
    </w:p>
    <w:p>
      <w:r>
        <w:t>Die zweitinstanzliche Spruchgebühr ist ausgangsgemäss der Klägerin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300.– festzusetzen. Mangels wesentlicher Umtriebe ist der Beklagten für das Beschwerdeverfah- 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