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RT150195 vom 2. Februar 2016</w:t>
      </w:r>
    </w:p>
    <w:p>
      <w:r>
        <w:t>ZH Obergericht, 2016-02-02, DE</w:t>
      </w:r>
    </w:p>
    <w:p>
      <w:r>
        <w:rPr>
          <w:b/>
        </w:rPr>
        <w:t xml:space="preserve">Quelle: </w:t>
      </w:r>
      <w:r>
        <w:t>https://mcp.opencaselaw.ch/entscheid/zh_obergericht_RT150195</w:t>
      </w:r>
    </w:p>
    <w:p>
      <w:r>
        <w:t>FR: ZH_OBERGERICHT RT150195 du 2 février 2016</w:t>
      </w:r>
    </w:p>
    <w:p>
      <w:r>
        <w:t>IT: ZH_OBERGERICHT RT150195 del 2 febbraio 2016</w:t>
      </w:r>
    </w:p>
    <w:p>
      <w:pPr>
        <w:pStyle w:val="Heading2"/>
      </w:pPr>
      <w:r>
        <w:t>Erwägungen</w:t>
      </w:r>
    </w:p>
    <w:p>
      <w:r>
        <w:rPr>
          <w:b/>
        </w:rPr>
        <w:t>E. 2</w:t>
      </w:r>
    </w:p>
    <w:p>
      <w:r>
        <w:t>Unter Kostenfolgen zulasten des Gesuchsgegners."</w:t>
      </w:r>
    </w:p>
    <w:p>
      <w:r>
        <w:rPr>
          <w:b/>
        </w:rPr>
        <w:t>E. 2.1</w:t>
      </w:r>
    </w:p>
    <w:p>
      <w:r>
        <w:t>Mit Präsidialverfügung vom 18. November 2015 wurde der Gesuchstel- lerin Frist zur Leistung eines Kostenvorschusses in der Höhe von Fr. 150.– ange- setzt, welcher innert Frist einging (Urk. 19; Urk. 20).</w:t>
      </w:r>
    </w:p>
    <w:p>
      <w:r>
        <w:rPr>
          <w:b/>
        </w:rPr>
        <w:t>E. 2.2</w:t>
      </w:r>
    </w:p>
    <w:p>
      <w:r>
        <w:t>In der Folge wurde dem Gesuchsgegner und Beschwerdegegner (fort- an Gesuchsgegner) mit Präsidialverfügung vom 2. Dezember 2015 Frist zum Er- statten der Beschwerdeantwort angesetzt (Urk. 21). Die Sendung wurde mit dem Vermerk "Nicht abgeholt" zurückgesandt (Urk. 22). Nachdem dem Gesuchsgeg- ner die Vorladung zur erstinstanzlichen Hauptverhandlung vom 23. September 2015 via Stadtammannamt … zugestellt worden war (Urk. 4; Urk. 6-9) und er das</w:t>
      </w:r>
    </w:p>
    <w:p>
      <w:r>
        <w:t>- 3 - unbegründete Urteil der Vorinstanz vom 1. Oktober 2015 am 13. Oktober 2015 persönlich in Empfang genommen hatte (Urk. 11), hatte der Gesuchsgegner Kenntnis vom vorliegenden Verfahren. Dementsprechend greift die Zustellungsfik- tion im Sinne von Art. 138 Abs. 3 lit. a ZPO und die Verfügung vom 2. Dezember 2015 gilt am siebten Tag nach dem erfolgslosen Zustellungsversuch und dem- nach am 11. Dezember 2015 als zugestellt. Innert Frist (Datum Fristablauf:</w:t>
      </w:r>
    </w:p>
    <w:p>
      <w:r>
        <w:rPr>
          <w:b/>
        </w:rPr>
        <w:t>E. 6</w:t>
      </w:r>
    </w:p>
    <w:p>
      <w:r>
        <w:t>Januar 2016) ging keine Beschwerdeantwort ein. 3.1 Mit der Beschwerde können unrichtige Rechtsanwendung und offen- sichtlich unrichtige Feststellung des Sachverhalts geltend gemacht werden (Art. 320 ZPO). 3.2 Die Vorinstanz wies das Rechtsöffnungsbegehren der Gesuchstellerin – nebst dem auf die Busse geforderten Zins – im Umfang von insgesamt Fr. 80.– (Fr. 70.– Weisungsgebühr, Fr. 10.– Mahngebühr) ab, da weder die Rechnung vom 24. Februar 2015 noch die Mahnung vom 16. April 2015 gültige Rechtsöff- nungstitel darstellen würden. Beide seien nicht mit einer Rechtsmittelbelehrung versehen und daher für den Gesuchsgegner nicht unmissverständlich als autorita- tives Erkenntnis einer Behörde erkennbar, welches bei Untätigbleiben ohne Wei- teres vollstreckt werden könne. Aus dem Strafbefehl vom 12. August 2014 ergebe sich keine Verpflichtung des Gesuchsgegners zur Zahlung einer Mahngebühr von Fr. 10.– und einer Überweisungsgebühr von Fr. 70.–. Entsprechend sei das Rechtsöffnungsbegehren in diesem Umfange abzuweisen (Urk. 16 S. 3 f. E. 2.3). 3.3.1 Die Gesuchstellerin bringt hiergegen vor, dass Rechtsgrundlage der Weisungsgebühr § 6 Abs. 1 lit. d und Abs. 2 der Verordnung über die Gebühren, Auslagen und Entschädigungen der Strafverfolgungsbehörden vom 24. November 2010 (GebV StrV) bilde, wonach die Übertretungsstrafbehörden die Gebühren für die Strafuntersuchung im Einspracheverfahren zuhanden des Gerichts in der Hö- he von Fr. 100.– bis Fr. 5'000.– festzusetzen hätten. Eine hoheitliche Verfügung sei hierfür nicht vorgesehen. Vorliegend sei diese Überweisungsgebühr durch das Bezirksgericht Zürich (mit-)überprüft und explizit zugesprochen worden. Das Dis- positiv der Verfügung vom 5. Dezember 2014 sei formell rechtskräftig und stelle damit einen gültigen Rechtsöffnungstitel dar (Urk. 15 S. 2).</w:t>
      </w:r>
    </w:p>
    <w:p>
      <w:r>
        <w:t>- 4 - In Bezug auf die Mahngebühr von Fr. 10.– wendet die Gesuchstellerin ein, dass für Mahnschreiben gemäss § 8 Abs. 1 lit. c GebV SrtV eine Gebühr von Fr. 20.– bis Fr. 50.– verlangt werden könne. In majore minus müsse auch eine tie- fere Mahngebühr zulässig sein. Hinzu komme, dass im formell rechtskräftigen Strafbefehl vom 12. August 2014 auf der Rückseite explizit auf die Mahngebühr bei Zahlungsverzug in der genannten Höhe hingewiesen worden sei (Urk. 15 S. 2). 3.3.2 Der Gesuchstellerin ist zuzustimmen. Die Weisungsgebühr in der Hö- he von Fr. 70.– wurde dem Gesuchsgegner gemäss Verfügung des Einzelgerichts am Bezirksgericht Zürich vom 5. Dezember 2014 rechtskräftig auferlegt (Urk. 2/1/6-7). Entsprechend aber liegt ein definitiver Rechtsöffnungstitel für die- sen Betrag vor. Ebenso liegt ein definitiver Rechtsöffnungstitel betreffend die Mahngebühr vor, die dem Gesuchsgegner mit Schreiben vom 16. April 2015 (Urk. 2/1/9) in Rechnung gestellt wurde. Auf der Rückseite des in Rechtskraft erwachsenen Strafbefehls vom 12. August 2014 findet sich folgender Hinweis: "Gerichtlich be- stätigte oder sonstwie in Rechtskraft erwachsene Bussen- und/oder Kostenent- scheide sind durch Bezahlung innert 30 Tagen zu erledigen, andernfalls kosten- pflichtige betreibungsrechtliche Massnahmen ergriffen werden. Pro Mahnung werden Fr. 10.00 berechnet (§ 8 lit. c Verordnung über die Gebühren, Auslagen und Entschädigungen der Strafverfolgungsbehörden vom 24. November 2010)". Der (im Strafbefehl in Aussicht gestellte fixe) Betrag von Fr. 10.– liegt unter der per Verordnung festgelegten Bandbreite für Mahnschreiben von Fr. 20.– bis Fr. 50.–. Obwohl für die Mahngebühr keine entsprechende separate anfechtbare Verfügung vorliegt (vgl. Stücheli, Die Rechtsöffnung, S. 196, BSK SchKG I-Staehelin, N 134a zu Art. 80 SchKG) und die verfügende Behörde gemäss Ge- setz (nicht aber gemäss den Hinweisen im Strafbefehl) einen Ermessensspiel- raum besitzt, rechtfertigt es sich, entsprechend der in ZR 97 [1998] Nr. 117 publi- zierten Praxis für die im Strafbefehl im Voraus auf Fr. 10.– limitierte Mahngebühr auch ohne selbständige Verfügung Rechtsöffnung zu erteilen. Damit aber geht</w:t>
      </w:r>
    </w:p>
    <w:p>
      <w:r>
        <w:t>- 5 - das Argument der Vorinstanz fehl, wonach sich eine diesbezügliche Verpflichtung für den Gesuchsgegner nicht aus dem Strafbefehl ergebe. 3.4 Entsprechend liegt für beide Beträge ein ausreichender Rechtsöff- nungstitel vor; Einwendungen erfolgten seitens des Gesuchsgegners keine. Die Beschwerde ist gutzuheissen und Dispositivziffer 1 des vorinstanzlichen Urteils vom 1. Oktober 2015 ist dementsprechend anzupassen. 4.1 Abschliessend ist über die Kosten- und Entschädigungsfolgen für das erstinstanzliche wie auch das Beschwerdeverfahren zu entscheiden. 4.2.1 Da der Gesuchsgegner fast vollständig (abgesehen von den auf die Busse verlangten Zinsen) unterliegt, rechtfertigt es sich, ihm die von der Vor- instanz korrekt festgesetzte Entscheidgebühr von Fr. 150.– für das erstinstanzli- che Verfahren vollständig aufzuerlegen. 4.2.2 Die Gesuchstellerin beanstandete die ihr von der Vorinstanz zuge- sprochene Parteientschädigung in der Höhe von Fr. 70.– nicht, weshalb es damit sein Bewenden hat. 4.3.1 Die Entscheidgebühr für das Beschwerdeverfahren ist in Anwendung von Art. 48 i.V.m. Art. 61 Abs. 1 GebV SchKG (vgl. ZR 110/2011 Nr. 28) auf Fr. 150.– festzusetzen. Die Gerichtskosten sind ausgangsgemäss dem Gesuchs- gegner aufzuerlegen (Art. 106 Abs. 1 ZPO). Die Entscheidgebühr ist aus dem Kostenvorschuss der Gesuchstellerin zu beziehen. Der Gesuchsgegner ist dem- gemäss zu verpflichten, der Gesuchstellerin die Entscheidgebühr in der Höhe von Fr. 150.– zu ersetzen. 4.3.2 Mangels eines entsprechenden Antrages ist der Gesuchstellerin für das Beschwerdeverfahren keine Parteientschädigung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