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RT150169 vom 18. November 2015</w:t>
      </w:r>
    </w:p>
    <w:p>
      <w:r>
        <w:t>ZH Obergericht, 2015-11-18, DE</w:t>
      </w:r>
    </w:p>
    <w:p>
      <w:r>
        <w:rPr>
          <w:b/>
        </w:rPr>
        <w:t xml:space="preserve">Quelle: </w:t>
      </w:r>
      <w:r>
        <w:t>https://mcp.opencaselaw.ch/entscheid/zh_obergericht_RT150169</w:t>
      </w:r>
    </w:p>
    <w:p>
      <w:r>
        <w:t>FR: ZH_OBERGERICHT RT150169 du 18 novembre 2015</w:t>
      </w:r>
    </w:p>
    <w:p>
      <w:r>
        <w:t>IT: ZH_OBERGERICHT RT150169 del 18 novembre 2015</w:t>
      </w:r>
    </w:p>
    <w:p>
      <w:pPr>
        <w:pStyle w:val="Heading2"/>
      </w:pPr>
      <w:r>
        <w:t>Erwägungen</w:t>
      </w:r>
    </w:p>
    <w:p>
      <w:r>
        <w:rPr>
          <w:b/>
        </w:rPr>
        <w:t>E. 29</w:t>
      </w:r>
    </w:p>
    <w:p>
      <w:r>
        <w:t>Mai 2013 zur Folge habe. Der Gesuchsgegner appellierte denn auch gegen das Urteil beim Obergericht. Wie die Vorinstanz jedoch zutreffend festhält, lässt sich aus dem aktenkundigen Berufungsentscheid keine entsprechende Rüge ent- nehmen (Urk. 24 S. 3 f.). Vielmehr geht daraus hervor, dass der Gesuchsgegner keine umfassende Berufung gegen den fraglichen Entscheid erhoben hat, son- dern diese in materieller Hinsicht auf die Frage der Aktivlegitimation der Kläge- rin 1, mithin der D._____-Stiftung, beschränkte und die Beweiswürdigung der Vo- rinstanz als kohärent akzeptierte (Urk. 5/5 S. 8 und S. 16 f.). Zudem wurde die</w:t>
      </w:r>
    </w:p>
    <w:p>
      <w:r>
        <w:t>- 5 - Verteilung der Prozesskosten - vergeblich (Urk. 5/5 S. 10 und ". 24 ff., Urk. 5/6) - angefochten. Andere Urkunden zur behaupteten, im Rechtsmittelverfahren gerüg- ten Gehörsverletzung wurden vor Vorinstanz nicht eingereicht, weshalb sie unbe- legt bleibt. Die im Beschwerdeverfahren neu vorgelegten Urkunden, welche die vor Erstinstanz gerügte Gehörsverweigerung beschlagen (Urk. 26/2+3), sind mit Hinweis auf das umfassende Novenverbot nicht zu beachten. Insgesamt ist die Behauptung, der Gesuchsgegner habe die Gehörsverletzung "durch alle Instan- zen" hindurch (Urk. 19 S. 1 f.), mithin auch vor Berufungsinstanz, gerügt und die- se seien darauf nicht eingegangen, nicht hinreichend dargetan. Wurde die be- hauptete Gehörsverletzung aber im Rechtsmittelverfahren nicht gerügt, ist der Vo- rinstanz darin beizupflichten, dass ein Zuwarten bis zum Vollstreckungsverfahren weder nachvollziehbar ist, noch Rechtsschutz verdient (Urk. 24 S. 4). d) Der Gesuchsgegner rügt ferner eine Rechtsverweigerung des Bundesge- richts und beantragt in diesem Zusammenhang den Beizug der Strafakten des Obergerichts mit den Zivilgerichtsakten. Das Bundesgericht habe trotz seines UP- Gesuchs einen Kostenvorschuss verlangt (Urk. 23 S. 2 f.). Bei diesen Vorbringen handelt es sich wiederum um im Beschwerdeverfahren neu vorgebrachte Be- hauptungen (vgl. Urk. 19, Urk. 9), welche mit Hinweis auf das umfassende No- venverbot vorliegend unbeachtlich sind. Im Übrigen wies das Bundesgericht – wie aus seinem Urteil vom 6. Oktober 2014 hervorgeht (Urk. 5/6) – das Gesuch um Gewährung der unentgeltlichen Rechtspflege für das bundesgerichtliche Verfah- ren ab, bevor es den Gesuchsgegner zur Leistung eines Kostenvorschusses auf- forderte. e) Der weiteren Rüge des Gesuchsgegners zur Kostenfestsetzung, welche ge- gen den ordre public resp. die "Fairheits-Vorschriften der Bundesverfassung" verstosse (Urk. 23 S. 3), ist entgegenzuhalten, dass es sich dabei um eine inhalt- liche Beanstandung des Rechtsöffnungstitels handelt. Die Überprüfung der zu vollstreckenden Forderung fällt indes nicht in die Kognition des Vollstreckungs- richters (vgl. Stücheli, Die Rechtsöffnung, Zürich 2000, S. 213). Dies hat bereits die Vorinstanz korrekt ausgeführt (Urk. 24 S. 3). Die Rüge ist daher nicht stichhal- tig.</w:t>
      </w:r>
    </w:p>
    <w:p>
      <w:r>
        <w:t>- 6 - Nämliches gilt für die erneut vorgebrachten Einwendungen gegen die Ver- waltungsvollmacht der Erblasserin und gegen die Legitimation der Erbstiftung (Urk. 23 S. 3), welche ebenfalls die materielle Begründetheit der zu vollstrecken- den Forderung betreffen. f) Inwiefern sodann der Freispruch des Gesuchsgegners gemäss Urteil des Obergerichts des Kantons Zürich vom 29. Mai 2015 die Sittenwidrigkeit der Rechtsöffnung belege (Urk. 23 S. 3), ist unerfindlich. Der Gesuchsgegner ver- kennt, dass das fragliche Urteil die strafrechtliche Beurteilung der falschen An- schuldigung beschlägt (Urk. 26/1). Aus den eingereichten Urteilspassagen geht denn auch hervor, dass das Strafgericht den Sachverhalt naturgemäss unter die- sem Gesichtspunkt und nicht hinsichtlich der hier relevanten, behaupteten Ge- hörsverletzung beurteilt hat (Urk. 20/1, Urk. 26/1, Urk. 30/1+2). Zudem ist auf die fehlende Bindungswirkung von Strafurteilen für das vorliegende Zivilverfahren hinzuweisen. g) Insgesamt erweist sich die Beschwerde demnach als unbegründet, weshalb sie abzuweisen ist, soweit auf sie einzutreten ist (vgl. vorstehend Ziff. 3.b). 4. Für das Beschwerdeverfahren beträgt der Streitwert Fr. 41'470.–. Die zweit- instanzliche Entscheidgebühr ist in Anwendung von Art. 48 in Verbindung mit Art. 61 Abs. 1 GebV SchKG auf Fr. 500.– festzusetzen und ausgangsgemäss dem Gesuchsgegner aufzuerlegen (Art. 106 Abs. 1 ZPO). Parteientschädigungen sind keine zuzusprechen, dem Gesuchsgegner zufolge seines Unterliegens, dem Gesuchsteller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