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RT150164 vom 11. November 2015</w:t>
      </w:r>
    </w:p>
    <w:p>
      <w:r>
        <w:t>ZH Obergericht, 2015-11-11, DE</w:t>
      </w:r>
    </w:p>
    <w:p>
      <w:r>
        <w:rPr>
          <w:b/>
        </w:rPr>
        <w:t xml:space="preserve">Quelle: </w:t>
      </w:r>
      <w:r>
        <w:t>https://mcp.opencaselaw.ch/entscheid/zh_obergericht_RT150164</w:t>
      </w:r>
    </w:p>
    <w:p>
      <w:r>
        <w:t>FR: ZH_OBERGERICHT RT150164 du 11 novembre 2015</w:t>
      </w:r>
    </w:p>
    <w:p>
      <w:r>
        <w:t>IT: ZH_OBERGERICHT RT150164 del 11 novembre 2015</w:t>
      </w:r>
    </w:p>
    <w:p>
      <w:pPr>
        <w:pStyle w:val="Heading2"/>
      </w:pPr>
      <w:r>
        <w:t>Erwägungen</w:t>
      </w:r>
    </w:p>
    <w:p>
      <w:r>
        <w:rPr>
          <w:b/>
        </w:rPr>
        <w:t>E. 1</w:t>
      </w:r>
    </w:p>
    <w:p>
      <w:r>
        <w:t>Mit Urteil vom 1. Mai 2014 hat das "Tribunal d'arrondissement de la Broye et du Nord vaudois" C._____ im Verfahren gegen die Gesuchs- und Beschwerde- gegnerin (fortan Gesuchsgegnerin) eine Parteientschädigung von Fr. 1'587.60 zugesprochen (Urk. 3/2 S. 16). Der Gesuchsteller und Beschwerdeführer, welcher C._____ im obgenannten Verfahren als Geschäftsagent vertreten hat, verlangt im vorliegenden Verfahren gestützt auf dieses Urteil Rechtsöffnung für den Betrag der Parteientschädigung von Fr. 1'587.60 zuzüglich 5 % Zins seit 3. Juni 2014 (Urk. 1).</w:t>
      </w:r>
    </w:p>
    <w:p>
      <w:r>
        <w:rPr>
          <w:b/>
        </w:rPr>
        <w:t>E. 2</w:t>
      </w:r>
    </w:p>
    <w:p>
      <w:r>
        <w:t>Mit Urteil vom 4. September 2015 wies die Vorinstanz das Rechtsöffnungs- begehren infolge offensichtlicher Unbegründetheit ohne Einholung einer Stellung- nahme der Gegenseite ab (Urk. 7). Dagegen erhob der Gesuchsteller innert Frist Beschwerde in französischer Sprache (Urk. 6). Auf entsprechende gerichtliche Aufforderung reichte der Gesuchsteller eine deutsche Übersetzung der Be- schwerdeschrift ins Recht (Urk. 9) und leistete den einverlangten Kostenvor- schuss (Urk. 12).</w:t>
      </w:r>
    </w:p>
    <w:p>
      <w:r>
        <w:rPr>
          <w:b/>
        </w:rPr>
        <w:t>E. 3</w:t>
      </w:r>
    </w:p>
    <w:p>
      <w:r>
        <w:t>Dem Gesuchsteller ist zuzustimmen, dass Art. 10 LPAg hinsichtlich der zu- gesprochenen Parteientschädigung eine Legalzession an den Geschäftsagenten</w:t>
      </w:r>
    </w:p>
    <w:p>
      <w:r>
        <w:t>- 4 - vorsieht (vgl. BGer 5D_195/2013 vom 22. Januar 2014, E. 3.3, zum gleichlauten- den Art. 46 LPAv). Aus der Rechtsprechung der Cour des poursuites et faillites des Kantons Waadt ist zudem ersichtlich, dass Art. 46 LPAv dem Rechtsanwalt erlaubt, im Sinne einer "Aussonderung der Kosten" ("distraction des dépens") die seinem Klienten mit Urteil zugesprochene Parteientschädigung in eigenem Na- men und auf eigene Rechnung direkt bei der Gegenpartei einzufordern (CPF KC12.001562-120652/312 vom 11. September 2012, E. II.b; CPF KC13.047494- 140354/197 vom 28. Mai 2014, E. II.a). Dass diese "Aussonderung der Kosten" unter der Bedingung der vorgängigen Abrechnungspflicht mit dem Klienten steht, geht aus den erwähnten Urteilen nicht hervor. Es scheint der waadtländischen Rechtsprechung zu entsprechen, dass die in Art. 46 LPAv statuierte Legalzession unabhängig einer vorgängigen Abrechnung zwischen dem Anwalt und seinem Klienten angenommen wird. Der Vorbehalt der Abrechnung mit dem Klienten be- trifft in diesem Sinne lediglich das interne Verhältnis zwischen Rechtsanwalt und Klient, gilt aber nicht als Voraussetzung für die in Art. 46 LPAv statuierte Legal- zession. Da Art. 10 LPAg inhaltlich mit Art. 46 LPAv übereinstimmt, ist diese Rechtsprechung auch für Geschäftsagenten zu beachten. Hinzu kommt, dass der Geschäftsagent gemäss Art. 8 Abs. 1 LPAg seinem Klienten seine Rechnung über sein Honorar und seine Auslagen übermittelt, „ainsi que la liste de ses en- caissements.“ Der Geschäftsagent muss also erst bei seiner Rechnungsstellung mit seinem Klienten über einkassierte Gelder abrechnen. Daher kann ausge- schlossen werden, dass das direkte Forderungsrecht des Geschäftsagenten ge- gen die Gegenpartei unter der Bedingung der vorgängigen Abrechnung mit dem Klienten steht. Dem Gesuchsteller ist vor diesem Hintergrund zuzustimmen, dass er aufgrund der Legalzession von Art. 10 LPAg zur Einforderung der Parteient- schädigung in eigenem Namen berechtigt und seine Aktivlegitimation im vorlie- genden Rechtsöffnungsverfahren ausgewiesen ist. Eine Abweisung des Rechts- öffnungsbegehrens zufolge fehlender Aktivlegitimation durfte vor diesem Hinter- grund nicht erfolgen.</w:t>
      </w:r>
    </w:p>
    <w:p>
      <w:r>
        <w:rPr>
          <w:b/>
        </w:rPr>
        <w:t>E. 4</w:t>
      </w:r>
    </w:p>
    <w:p>
      <w:r>
        <w:t>Da im erstinstanzlichen Verfahren keine Stellungnahme der Gesuchsgegne- rin eingeholt worden ist, ist die Sache zur Durchführung des Verfahrens und neu- er Entscheidung an die Vorinstanz zurückzuweisen.</w:t>
      </w:r>
    </w:p>
    <w:p>
      <w:r>
        <w:t>- 5 - C. Kosten- und Entschädigungsfolgen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Art. 104 N 7). In diesem Sinne sind die Gerichtskosten des Beschwerdeverfahrens in Anwendung von § 48 i.V.m. 61 Abs. 1 GebV SchKG auf Fr. 450.– festzulegen. Die Verteilung sowie der Entscheid über die Parteientschädigung wird der Vorinstanz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