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RT150160 vom 4. Januar 2016</w:t>
      </w:r>
    </w:p>
    <w:p>
      <w:r>
        <w:t>ZH Obergericht, 2016-01-04, DE</w:t>
      </w:r>
    </w:p>
    <w:p>
      <w:r>
        <w:rPr>
          <w:b/>
        </w:rPr>
        <w:t xml:space="preserve">Quelle: </w:t>
      </w:r>
      <w:r>
        <w:t>https://mcp.opencaselaw.ch/entscheid/zh_obergericht_RT150160</w:t>
      </w:r>
    </w:p>
    <w:p>
      <w:r>
        <w:t>FR: ZH_OBERGERICHT RT150160 du 4 janvier 2016</w:t>
      </w:r>
    </w:p>
    <w:p>
      <w:r>
        <w:t>IT: ZH_OBERGERICHT RT150160 del 4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23. Juli 2015 erteilte die Vorinstanz der Klägerin und Be- schwerdegegnerin (fortan Klägerin) in der Betreibung Nr. 1 des Betreibungsamtes Thalwil-Rüschlikon-Kilchberg (Zahlungsbefehl vom 6. März 2015) gestützt auf ei- nen vor dem Bezirksgericht Horgen geschlossenen rechtskräftigen Vergleich vom 25. November 2014 (Urk. 3/2, Urk. 6) definitive Rechtsöffnung für Fr. 2'000.– so- wie für Kosten und Entschädigung gemäss den Dispositivziffern 2 bis 4 des Ur- teils (Urk. 21). Mit fristgerechter Eingabe vom 18. September 2015 erhob der Beklagte und Beschwerdeführer (fortan Beklagter) Beschwerde mit den folgenden Anträgen (Urk. 20 S. 2): " 1. Das Urteil des Bezirksgerichts Horgen sei aufzuheben, die Rechts- öffnung und Vollstreckung sei aufzuheben.</w:t>
      </w:r>
    </w:p>
    <w:p>
      <w:r>
        <w:rPr>
          <w:b/>
        </w:rPr>
        <w:t>E. 2</w:t>
      </w:r>
    </w:p>
    <w:p>
      <w:r>
        <w:t>Die Kosten seien der Klägerin aufzuerlegen.</w:t>
      </w:r>
    </w:p>
    <w:p>
      <w:r>
        <w:rPr>
          <w:b/>
        </w:rPr>
        <w:t>E. 3</w:t>
      </w:r>
    </w:p>
    <w:p>
      <w:r>
        <w:t>Die zweitinstanzliche Spruchgebühr ist ausgangsgemäss dem Beklagten aufzuerlegen (Art. 106 Abs. 1 ZPO). Für deren Bemessung gelangt gemäss Pra- xis der Kammer die Gebührenverordnung zum Bundesgesetz über Schuldbetrei- bung und Konkurs (GebV SchKG; SR 281.35) zur Anwendung (Art. 16 SchKG; ZR 110 [2011] Nr. 28). Die Spruchgebühr ist gestützt auf Art. 48 i.V.m. Art. 61 Abs. 1 GebV SchKG auf Fr. 300.– festzusetzen. Mangels wesentlicher Umtriebe ist der Klägerin für das Beschwerdeverfah- ren keine Entschädigung zuzusprechen.</w:t>
      </w:r>
    </w:p>
    <w:p>
      <w:r>
        <w:t>- 7 -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