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RT150152 vom 13. Oktober 2015</w:t>
      </w:r>
    </w:p>
    <w:p>
      <w:r>
        <w:t>ZH Obergericht, 2015-10-13, DE</w:t>
      </w:r>
    </w:p>
    <w:p>
      <w:r>
        <w:rPr>
          <w:b/>
        </w:rPr>
        <w:t xml:space="preserve">Quelle: </w:t>
      </w:r>
      <w:r>
        <w:t>https://mcp.opencaselaw.ch/entscheid/zh_obergericht_RT150152</w:t>
      </w:r>
    </w:p>
    <w:p>
      <w:r>
        <w:t>FR: ZH_OBERGERICHT RT150152 du 13 octobre 2015</w:t>
      </w:r>
    </w:p>
    <w:p>
      <w:r>
        <w:t>IT: ZH_OBERGERICHT RT150152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 der Gesuchsgegner und Beschwerdeführer (fortan Gesuchsgegner) anlässlich der vorinstanzlichen Verhandlung vom 11. August 2015 seinen erho- benen Rechtsvorschlag zurückgezogen hatte (Prot. Vi S. 5, Urk. 8), erteilte die Vorinstanz mit Urteil vom 12. August 2015 der Gesuchstellerin und Beschwerde- gegnerin (fortan Gesuchstellerin) in der Betreibung Nr. … des Betreibungsamtes Fällanden (Zahlungsbefehl vom 12. Juni 2015) definitive Rechtsöffnung für Fr. 22'419.65 und die Betreibungskosten sowie die Kosten und Entschädigung gemäss den Dispositivziffern 2 bis 4 des Urteils. Das Rubrum lautet auf A._____- C._____ mit Heimatort D._____ FR (Urk. 15). Mit innert Frist eingereichter Eingabe vom 21. August 2015 erhob der Ge- suchsgegner Beschwerde mit dem Antrag, sein Name und seine Heimatorte seien richtigzustellen. Das Urteil sei auf seinen Namen A._____ auszustellen und als weiterer Heimatort E._____ FR ins Rubrum aufzunehmen (Urk. 14).</w:t>
      </w:r>
    </w:p>
    <w:p>
      <w:r>
        <w:rPr>
          <w:b/>
        </w:rPr>
        <w:t>E. 2</w:t>
      </w:r>
    </w:p>
    <w:p>
      <w:r>
        <w:t>a) Wie die Zulässigkeit einer Klage setzt auch diejenige eines Rechtsmit- tels das Vorhandensein eines Rechtsschutzinteresses voraus. Ein solches fehlt einer Partei, die durch eine Entscheidung nicht benachteiligt ist. Vorliegend be- stehen – wie nachstehend aufzuzeigen sein wird – keine Zweifel an der Identität des Gesuchsgegners, weshalb er kein Rechtsschutzinteresse an einer Korrektur des erstinstanzlichen Rubrums hat. Auf die Beschwerde kann daher nicht einge- treten werden. b) Ergänzend auszuführen bleibt, dass bereits in der vorinstanzlichen Verfü- gung vom 6. Juli 2015 der Gesuchsgegner im Rubrum als A._____-C._____ mit Heimatort D._____ FR aufgeführt wurde (Urk. 3 S. 1). Obwohl ihm diese Verfü- gung zugestellt werden konnte (vgl. Urk. 4 S. 2) und er damit Kenntnis des Rubrums hatte, beantragte er bei der Vorinstanz keine Berichtigung des Rubrums, auch nicht anlässlich der Verhandlung vom 11. August 2015 (vgl. Prot. Vi S. 5).</w:t>
      </w:r>
    </w:p>
    <w:p>
      <w:r>
        <w:t>- 3 -</w:t>
      </w:r>
    </w:p>
    <w:p>
      <w:r>
        <w:rPr>
          <w:b/>
        </w:rPr>
        <w:t>E. 3</w:t>
      </w:r>
    </w:p>
    <w:p>
      <w:r>
        <w:t>Die Parteibezeichnung soll die zweifelsfreie Identifikation der Prozesspar- teien sicherstellen (BGE 131 I 57 E. 2.2 = Pra 94 (2005) Nr. 135 E. 2.2; siehe auch BGer 4A_364/2013 vom 5. März 2014 E. 16). Sowohl der Verlustschein vom</w:t>
      </w:r>
    </w:p>
    <w:p>
      <w:r>
        <w:rPr>
          <w:b/>
        </w:rPr>
        <w:t>E. 6</w:t>
      </w:r>
    </w:p>
    <w:p>
      <w:r>
        <w:t>Juni 2001 (Urk. 2/2) als auch der Zahlungsbefehl vom 12. Juni 2015 (Urk. 2/1) lauten auf "A._____-C._____". Der Verlustschein führt sodann das Geburtsdatum tt. September 1935, den Heimatort D._____ FR und die Wohnadresse …strasse … in B._____ auf (Urk. 2/2), was identisch mit dem vorinstanzlichen Rubrum ist. Auch bestreitet der Gesuchsgegner nicht, dass sich der Verlustschein auf ihn be- ziehe (vgl. Urk. 14). Sodann ist er nach wie vor an der …strasse … in B._____ wohnhaft (vgl. Urk. 14). Vorliegend kann somit jegliche Verwechslungsgefahr ausgeschlossen werden. Da der Gesuchsgegner präzis identifiziert werden kann, erscheint eine Korrektur nicht zwingend. Im Beschwerdeverfahren ist der Be- schwerdeführer aber mit seinen richtigen Personalien aufzuführen. 4. Es rechtfertigt sich, für das Beschwerdeverfahren umständehalber auf eine Kostenerhebung zu verzichten. Mangels wesentlicher Umtriebe ist der Ge- suchstellerin für das Beschwerdeverfahren keine 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