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RT150149 vom 25. August 2015</w:t>
      </w:r>
    </w:p>
    <w:p>
      <w:r>
        <w:t>ZH Obergericht, 2015-08-25, DE</w:t>
      </w:r>
    </w:p>
    <w:p>
      <w:r>
        <w:rPr>
          <w:b/>
        </w:rPr>
        <w:t xml:space="preserve">Quelle: </w:t>
      </w:r>
      <w:r>
        <w:t>https://mcp.opencaselaw.ch/entscheid/zh_obergericht_RT150149</w:t>
      </w:r>
    </w:p>
    <w:p>
      <w:r>
        <w:t>FR: ZH_OBERGERICHT RT150149 du 25 août 2015</w:t>
      </w:r>
    </w:p>
    <w:p>
      <w:r>
        <w:t>IT: ZH_OBERGERICHT RT150149 del 25 agosto 2015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Juli 2015 aufzuheben, und die Klage sei vollumfänglich abzuweisen. 2. Eventualiter sei das Urteil des Bezirksgerichts Horgen vom 23. Juli 2015 mangels ört- licher Zuständigkeit der Vorinstanz aufzuheben. 3. Subeventualiter sei das Urteil des Bezirksgerichts Horgen vom 23. Juli 2015 aufzu- heben, und die Sache sei zur Durchführung eines Beweisverfahrens an die Vor- instanz zurückzuweisen. 4. Unter Kosten- und Entschädigungsfolgen zu Lasten des Klägers." 2.1 Das vorinstanzliche Urteil vom 23. Juli 2015 wurde dem Beklagten am 8. August 2015 zugestellt (Urk. 18/2). Entsprechend endete die 10-tägige Be- schwerdefrist gemäss Art. 321 Abs. 2 ZPO (vgl. die zutreffende Rechtsmittelbe- lehrung im angefochtenen Entscheid) am Dienstag, den 18. August 2015 (Art. 142 ZPO; Art. 145 Abs. 2 lit. b ZPO). Indem der Beklagte seine Eingabe erst am 19. August 2015 der Schweizerischen Post zu Handen des Gerichts übergeben hat (Art. 143 Abs. 1 ZPO), ist vorliegende Eingabe verspätet. Dementsprechend ist auf die Beschwerde nicht einzutreten. Lediglich der Vollständigkeit halber ist der Beklagte darauf hinzuweisen, dass die im Darlehensvertrag enthaltene Gerichtsstandsvereinbarung die Zustän-</w:t>
      </w:r>
    </w:p>
    <w:p>
      <w:r>
        <w:t>- 3 - digkeit der Vorinstanz für das Rechtsöffnungsverfahren nicht umzustossen ver- mochte: Der Gerichtsstand am Betreibungsort ist für das Rechtsöffnungsverfah- ren zwingender Natur (Art. 84 Abs. 1 SchKG i.V.m. Art. 46 Abs. 1 SchKG). Damit ist weder eine Einlassung an einem nicht zuständigen Gericht möglich noch dero- giert eine Gerichtsstandsvereinbarung auf ein anderes Gericht im Verfahren um provisorische Rechtsöffnung die Zuständigkeit des Richters am Betreibungsort (BSK SchKG I-D. Staehelin, 2. Auflage, Basel 2010, Art. 84 N 19). Entsprechend war die Vorinstanz durchaus zur Beurteilung des Rechtsöffnungsbegehrens zu- ständig. 2.2 Damit erweist sich die Beschwerde als offensichtlich unzulässig, wes- halb auf das Einholen einer Beschwerdeantwort der Gegenpartei verzichtet wer- den kann (Art. 322 Abs. 1 ZPO). Die Rechtsmittelbelehrung der Vorinstanz ist da- hingehend zu ergänzen, als dass dem Beklagten – abgesehen von der Be- schwerde an die angerufene Kammer – die Möglichkeit der Aberkennungsklage nach Art. 83 Abs. 2 SchKG offensteht. Der diesbezügliche Gerichtsstand am Be- treibungsort ist nicht zwingender Natur (BSK SchKG I-D. Staehelin, a.a.O., Art. 83 N 34 f.) 3.1 Die Entscheidgebühr für das Beschwerdeverfahren ist in Anwendung von Art. 48 i.V.m. Art. 61 Abs. 1 GebV SchKG (vgl. ZR 110/2011 Nr. 28) auf Fr. 500.– festzusetzen. Die Gerichtskosten sind ausgangsgemäss dem Beklagten aufzuerlegen (Art. 106 Abs. 1 ZPO). 3.2 Dem Kläger ist mangels relevanter Umtriebe im Beschwerdeverfahren keine Parteientschädigung zuzusprechen (vgl.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