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RT150147 vom 22. September 2015</w:t>
      </w:r>
    </w:p>
    <w:p>
      <w:r>
        <w:t>ZH Obergericht, 2015-09-22, DE</w:t>
      </w:r>
    </w:p>
    <w:p>
      <w:r>
        <w:rPr>
          <w:b/>
        </w:rPr>
        <w:t xml:space="preserve">Quelle: </w:t>
      </w:r>
      <w:r>
        <w:t>https://mcp.opencaselaw.ch/entscheid/zh_obergericht_RT150147</w:t>
      </w:r>
    </w:p>
    <w:p>
      <w:r>
        <w:t>FR: ZH_OBERGERICHT RT150147 du 22 septembre 2015</w:t>
      </w:r>
    </w:p>
    <w:p>
      <w:r>
        <w:t>IT: ZH_OBERGERICHT RT150147 del 22 settembre 2015</w:t>
      </w:r>
    </w:p>
    <w:p>
      <w:pPr>
        <w:pStyle w:val="Heading2"/>
      </w:pPr>
      <w:r>
        <w:t>Erwägungen</w:t>
      </w:r>
    </w:p>
    <w:p>
      <w:r>
        <w:rPr>
          <w:b/>
        </w:rPr>
        <w:t>E. 10</w:t>
      </w:r>
    </w:p>
    <w:p>
      <w:r>
        <w:t>Tagen zur Stellungnahme zum Rechtsöffnungsbegehren an. Des Weiteren wurde er auf sein Akteneinsichtsrecht hingewiesen (Urk. 3 S. 2). Diese Verfügung nahm der Gesuchsgegner am 20. Mai 2015 persönlich in Empfang (Urk. 4). Innert Frist reichte er mit Schreiben vom 28. Mai 2015 eine Stellungnahme ein (Urk. 5). Mit Verfügung vom 2. Juni 2015 entschied die Vorinstanz folgendes (Urk. 6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