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RT150134 vom 6. Oktober 2015</w:t>
      </w:r>
    </w:p>
    <w:p>
      <w:r>
        <w:t>ZH Obergericht, 2015-10-06, DE</w:t>
      </w:r>
    </w:p>
    <w:p>
      <w:r>
        <w:rPr>
          <w:b/>
        </w:rPr>
        <w:t xml:space="preserve">Quelle: </w:t>
      </w:r>
      <w:r>
        <w:t>https://mcp.opencaselaw.ch/entscheid/zh_obergericht_RT150134</w:t>
      </w:r>
    </w:p>
    <w:p>
      <w:r>
        <w:t>FR: ZH_OBERGERICHT RT150134 du 6 octobre 2015</w:t>
      </w:r>
    </w:p>
    <w:p>
      <w:r>
        <w:t>IT: ZH_OBERGERICHT RT150134 del 6 ottobre 2015</w:t>
      </w:r>
    </w:p>
    <w:p>
      <w:pPr>
        <w:pStyle w:val="Heading2"/>
      </w:pPr>
      <w:r>
        <w:t>Erwägungen</w:t>
      </w:r>
    </w:p>
    <w:p>
      <w:r>
        <w:rPr>
          <w:b/>
        </w:rPr>
        <w:t>E. 1</w:t>
      </w:r>
    </w:p>
    <w:p>
      <w:r>
        <w:t>a) Mit Eingabe vom 7. Mai 2015 reichte die Gesuchstellerin und Be- schwerdeführerin (fortan Gesuchstellerin) bei der Vorinstanz ein Begehren um Er- teilung der provisorischen Rechtsöffnung in der Betreibung Nr. ... des Betrei- bungsamtes Zürich 4 (Zahlungsbefehl vom 31. März 2015) für Fr. 11'062.85 so- wie Fr. 103.30 Betreibungskosten ein (Urk. 1 f.). Mit Urteil vom 11. Juni 2015 wies die Vorinstanz dieses Begehren ab und auferlegte der Gesuchstellerin die Spruchgebühr von Fr. 500.– (Urk. 13). Innert Frist erhob die Gesuchstellerin mit Eingabe vom 9. Juli 2015 Be- schwerde gegen das vorgenannte Urteil mit dem Antrag, es sei das Rechtsöff- nungsbegehren vollständig gutzuheissen (Urk. 12). b) Auf die Ausführungen der Gesuchstellerin in ihrer Beschwerdeschrift ist nur insoweit einzugehen, als sich dies für die Entscheidfindung als notwendig er- weist.</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w:t>
      </w:r>
    </w:p>
    <w:p>
      <w:r>
        <w:t>- 3 - b) Die im Beschwerdeverfahren von der Gesuchstellerin aufgestellten Be- hauptungen (Urk. 12) und eingereichten Beilagen (Urk. 15/2-3) wurden im Rah- men des vorliegenden Rechtsöffnungsverfahrens erstmals im Beschwerdeverfah- ren eingebracht. Diese sind im Sinne von Art. 326 ZPO als verspätet vorgebracht zu betrachten und daher nicht mehr zu berücksichtigen. Da die Gesuchstellerin die Gutheissung ihres Rechtsöffnungsbegehrens einzig aufgrund der Urk. 15/2-3 beantragt und sich ansonsten in ihrer Beschwer- deschrift nicht weiter mit den vorinstanzlichen Erwägungen auseinandersetzt, er- weist sich die Beschwerde als unbegründet. Es kann daher davon abgesehen werden, eine Beschwerdeantwort des Gesuchsgegners und Beschwerdegegners (fortan Gesuchsgegner) oder eine Stellungnahme der Vorinstanz einzuholen (Art. 322 ZPO, Art. 324 ZPO). Die Beschwerde ist abzuweisen.</w:t>
      </w:r>
    </w:p>
    <w:p>
      <w:r>
        <w:rPr>
          <w:b/>
        </w:rPr>
        <w:t>E. 3</w:t>
      </w:r>
    </w:p>
    <w:p>
      <w:r>
        <w:t>a) Die zweitinstanzliche Spruchgebühr ist ausgangsgemäss der Gesuch- stellerin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500.– festzusetzen. b) Mangels wesentlicher Umtriebe ist dem Gesuchsgegner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