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RT150104 vom 11. August 2015</w:t>
      </w:r>
    </w:p>
    <w:p>
      <w:r>
        <w:t>ZH Obergericht, 2015-08-11, DE</w:t>
      </w:r>
    </w:p>
    <w:p>
      <w:r>
        <w:rPr>
          <w:b/>
        </w:rPr>
        <w:t xml:space="preserve">Quelle: </w:t>
      </w:r>
      <w:r>
        <w:t>https://mcp.opencaselaw.ch/entscheid/zh_obergericht_RT150104</w:t>
      </w:r>
    </w:p>
    <w:p>
      <w:r>
        <w:t>FR: ZH_OBERGERICHT RT150104 du 11 août 2015</w:t>
      </w:r>
    </w:p>
    <w:p>
      <w:r>
        <w:t>IT: ZH_OBERGERICHT RT150104 del 11 agosto 2015</w:t>
      </w:r>
    </w:p>
    <w:p>
      <w:pPr>
        <w:pStyle w:val="Heading2"/>
      </w:pPr>
      <w:r>
        <w:t>Erwägungen</w:t>
      </w:r>
    </w:p>
    <w:p>
      <w:r>
        <w:rPr>
          <w:b/>
        </w:rPr>
        <w:t>E. 1</w:t>
      </w:r>
    </w:p>
    <w:p>
      <w:r>
        <w:t>Mit Urteil vom 28. Mai 2015 wurde ein Revisionsgesuch der Gesuch- stellerin und Beschwerdeführerin (fortan Gesuchstellerin) betreffend ein Rechts- öffnungsurteil der Vorinstanz vom 18. Februar 2015 abgewiesen (Urk. 7).</w:t>
      </w:r>
    </w:p>
    <w:p>
      <w:r>
        <w:rPr>
          <w:b/>
        </w:rPr>
        <w:t>E. 2</w:t>
      </w:r>
    </w:p>
    <w:p>
      <w:r>
        <w:t>Gegen diesen Entscheid erhob die Gesuchstellerin innert Frist mit Ein- gabe vom 8. Juni 2015 Beschwerde (Urk. 6). Da die Beschwerdeschrift nicht von einem dazu berechtigten Organ der Gesuchstellerin unterzeichnet worden war, wurde der Gesuchstellerin mit Verfügung vom 9. Juni 2015 Frist angesetzt, um die Beschwerdeschrift zu verbessern (Urk. 10). Innert Frist ging zwar nicht die un- terzeichnete ursprüngliche Beschwerdeschrift bei der Kammer ein, indessen eine identische und unterschriebene Fassung der Beschwerdeschrift (Urk. 12).</w:t>
      </w:r>
    </w:p>
    <w:p>
      <w:r>
        <w:rPr>
          <w:b/>
        </w:rPr>
        <w:t>E. 3</w:t>
      </w:r>
    </w:p>
    <w:p>
      <w:r>
        <w:t>Die Beschwerde muss konkrete Anträge enthalten, aus welchen sich ergibt, in welchem Umfang der vorinstanzliche Entscheid angefochten wird (Frei- burghaus/Afheldt, in: Sutter-Somm/Hasenböhler/Leuenberger, ZPO Komm., N 14 zur Art. 321 ZPO). Die nicht anwaltlich vertretene Gesuchstellerin stellt zwar keine ausdrücklichen Anträge, indes ergibt sich aus dem Inhalt der Beschwerdebegrün- dung, dass sie sinngemäss die Aufhebung des vorinstanzlichen Urteils und Gut- heissung ihres Revisionsgesuchs verlangt. Damit ist auf die Beschwerde einzutre- ten. 4.1. Ferner ist gemäss Art. 321 Abs. 1 ZPO die Beschwerde schriftlich und begründet zu erheben. Der Inhalt dieser Bestimmung erschliesst sich durch einen Vergleich mit der entsprechenden Regelung für das bundesgerichtliche Verfahren in Art. 42 Abs. 2 BGG (Freiburghaus/Afheldt, a.a.O., N 15 zu Art. 321 mit Verweis auf BGE 134 II 244 E. 2.4). Praxisgemäss sind die Eintretensvoraussetzungen aber nicht so restriktiv wie gemäss Art. 42 Abs. 2 BGG im bundesgerichtlichen Verfahren. So wird vom Beschwerdeführer nicht verlangt, dass er explizit verletzte Gesetzesartikel nennt, da die kantonale Beschwerdeinstanz das Gesetz von Am- tes wegen anwendet.</w:t>
      </w:r>
    </w:p>
    <w:p>
      <w:r>
        <w:t>- 3 - 4.2. Vom Beschwerdeführer muss aber verlangt werden, dass er klar und substantiiert darlegt, welchen Mangel der angefochtene Entscheid aufweist. Dabei hat er sich insbesondere konkret mit den vorinstanzlichen Erwägungen auseinan- derzusetzen. Er muss erläutern, welche Erwägung aus welchen Gründen nicht zutreffend ist. Der gerügten Erwägung sind die aus Sicht des Beschwerdeführers zutreffenden Überlegungen gegenüberzustellen und es ist darzutun, zu welchem, von jenem der Vorinstanz abweichenden Ergebnis diese führen. Der Beschwerde- führer kann seiner Rüge- und Begründungspflicht nicht durch einen globalen Ver- weis auf bisherige Eingaben oder die Akten nachkommen. Insbesondere genügt die Erklärung der gesamten bisherigen Ausführungen zum Bestandteil der Be- schwerde nicht. Werden keine oder ungenügende Rügen erhoben, stellt dies ei- nen nicht behebbaren Mangel dar (vgl. Art. 132 ZPO). Es kann daher keine Nach- frist zur ergänzenden Begründung angesetzt werden. Die Beschwerde muss dies- falls abgewiesen werden. 4.3. Diesen Anforderungen an die Beschwerdebegründung kommt die Ge- suchstellerin nicht nach, vielmehr beschränkt sie sich darauf, auf ihre bisherigen Ausführungen zu verweisen oder diese zu wiederholen (Urk 12). Sie setzt sich aber überhaupt nicht mit den Erwägungen des Vorderrichters auseinander, wo- nach weder ersichtlich sei, dass sie - die Gesuchstellerin - nachträglich, also nach dem Urteil im Rechtsöffnungsverfahren, erhebliche Tatsachen erfahren oder ent- scheidende Beweismittel gefunden hätte noch dass ein anderer Revisionsgrund nach Art. 328 Abs. 1 und Abs. 2 ZPO gegeben sei (Urk. 7 S. 2). Auch im Be- schwerdeverfahren hält die Gesuchstellerin lediglich daran fest, dass keine Mehrwertsteuerpflicht bestanden habe und sich die Gesuchsgegnerin und Be- schwerdegegnerin (fortan Gesuchsgegnerin) fehlerhaft verhalten habe (Urk. 12 S. 1). Die Beschwerde der Gesuchstellerin ist daher abzuweisen.</w:t>
      </w:r>
    </w:p>
    <w:p>
      <w:r>
        <w:rPr>
          <w:b/>
        </w:rPr>
        <w:t>E. 5</w:t>
      </w:r>
    </w:p>
    <w:p>
      <w:r>
        <w:t>Zusammengefasst erweist sich die vorliegende Beschwerde als offen- sichtlich unbegründet, weshalb sie abzuweisen ist. Auf das Einholen einer Be- schwerdeantwort der Gesuchsgegnerin kann unter diesen Umständen verzichtet werden (Art. 322 Abs. 1 ZPO).</w:t>
      </w:r>
    </w:p>
    <w:p>
      <w:r>
        <w:t>- 4 -</w:t>
      </w:r>
    </w:p>
    <w:p>
      <w:r>
        <w:rPr>
          <w:b/>
        </w:rPr>
        <w:t>E. 6</w:t>
      </w:r>
    </w:p>
    <w:p>
      <w:r>
        <w:t>Die Entscheidgebühr für das vorliegende Beschwerdeverfahren ist - ausgehend von einem Streitwert von Fr. 14'414.30 (vgl. Urk. 5/14) - in Anwen- dung von Art. 48 GebVO SchKG auf Fr. 500.– festzusetzen.</w:t>
      </w:r>
    </w:p>
    <w:p>
      <w:r>
        <w:rPr>
          <w:b/>
        </w:rPr>
        <w:t>E. 7</w:t>
      </w:r>
    </w:p>
    <w:p>
      <w:r>
        <w:t>Ausgangsgemäss wird die Gesuchstellerin im Beschwerdeverfahren kostenpflichtig (Art. 106 Abs. 1 ZPO). Für das Beschwerdeverfahren sind sodann keine Parteientschädigungen zuzusprechen, der Gesuchstellerin infolge ihres Un- terliegens, der Gesuchsgegnerin und Beschwerdegegnerin (fortan Gesuchsgeg- nerin)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