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RT150093 vom 26. Juni 2015</w:t>
      </w:r>
    </w:p>
    <w:p>
      <w:r>
        <w:t>ZH Obergericht, 2015-06-26, DE</w:t>
      </w:r>
    </w:p>
    <w:p>
      <w:r>
        <w:rPr>
          <w:b/>
        </w:rPr>
        <w:t xml:space="preserve">Quelle: </w:t>
      </w:r>
      <w:r>
        <w:t>https://mcp.opencaselaw.ch/entscheid/zh_obergericht_RT150093</w:t>
      </w:r>
    </w:p>
    <w:p>
      <w:r>
        <w:t>FR: ZH_OBERGERICHT RT150093 du 26 juin 2015</w:t>
      </w:r>
    </w:p>
    <w:p>
      <w:r>
        <w:t>IT: ZH_OBERGERICHT RT150093 del 26 giugno 2015</w:t>
      </w:r>
    </w:p>
    <w:p>
      <w:pPr>
        <w:pStyle w:val="Heading2"/>
      </w:pPr>
      <w:r>
        <w:t>Erwägungen</w:t>
      </w:r>
    </w:p>
    <w:p>
      <w:r>
        <w:rPr>
          <w:b/>
        </w:rPr>
        <w:t>E. 1</w:t>
      </w:r>
    </w:p>
    <w:p>
      <w:r>
        <w:t>a) Da die Gesuchsgegnerin und Beschwerdeführerin (fortan Gesuchs- gegnerin) anlässlich der vorinstanzlichen Verhandlung vom 6. Mai 2015 ihren er- hobenen Rechtsvorschlag zurück zog (Prot. Vi S. 5, Urk. 10), erteilte die Vorin- stanz mit Urteil vom 8. Mai 2015 dem Gesuchsteller und Beschwerdegegner (fort- an Gesuchsteller) in der Betreibung Nr. ... des Betreibungsamtes Fällanden (Zah- lungsbefehl vom 19. November 2014) gestützt auf den Einschätzungsentscheid des kantonalen Steueramtes Zürich für die Quellensteuern (Staats-, Gemeinde- und Bundessteuern) 2012 vom 15. April 2014 (Urk. 2/1) sowie die dazugehörige</w:t>
      </w:r>
    </w:p>
    <w:p>
      <w:r>
        <w:rPr>
          <w:b/>
        </w:rPr>
        <w:t>E. 2</w:t>
      </w:r>
    </w:p>
    <w:p>
      <w:r>
        <w:t>Das Urteil des Bezirksgerichtes Uster vom 08.05.2015 sei für nich- tig zu erklären,</w:t>
      </w:r>
    </w:p>
    <w:p>
      <w:r>
        <w:rPr>
          <w:b/>
        </w:rPr>
        <w:t>E. 3</w:t>
      </w:r>
    </w:p>
    <w:p>
      <w:r>
        <w:t>Das Rechtsöffnungsbegehren des Gesuchstellers (Kantonales Steueramt Zürich, Dienstabt. Bundessteuer) sei aufzuheben,</w:t>
      </w:r>
    </w:p>
    <w:p>
      <w:r>
        <w:rPr>
          <w:b/>
        </w:rPr>
        <w:t>E. 4</w:t>
      </w:r>
    </w:p>
    <w:p>
      <w:r>
        <w:t>Sämtliche Kosten seien dem Gesuchsteller (Kantonales Steueramt Zürich, Dienstabt. Bundessteuer) aufzuerlegen,</w:t>
      </w:r>
    </w:p>
    <w:p>
      <w:r>
        <w:rPr>
          <w:b/>
        </w:rPr>
        <w:t>E. 5</w:t>
      </w:r>
    </w:p>
    <w:p>
      <w:r>
        <w:t>Dem Gesuchsteller (Kantonales Steueramt Zürich, Dienstabt. Bun- dessteuer) sei keine Entschädigung auszurichten,</w:t>
      </w:r>
    </w:p>
    <w:p>
      <w:r>
        <w:rPr>
          <w:b/>
        </w:rPr>
        <w:t>E. 6</w:t>
      </w:r>
    </w:p>
    <w:p>
      <w:r>
        <w:t>Der Gesuchsgegnerin sei eine angemessene Entschädigung zuzu- sprechen." b) Auf die Ausführungen der Gesuchsgegnerin in ihrer Beschwerdeschrift ist nachfolgend nur insoweit einzugehen, als sich dies für die Entscheidfindung als notwendig erweist.</w:t>
      </w:r>
    </w:p>
    <w:p>
      <w:r>
        <w:t>- 3 - 2. a) Mit der Beschwerde können unrichtige Rechtsanwendung und offen- sichtlich unrichtige Feststellung des Sachverhalts geltend gemacht werden (Art. 320 ZPO). Die Beschwerde gemäss Art. 319 ff. ZPO hat konkrete Rechtsbe- gehren zu enthalten, aus denen hervorgeht, in welchem Umfang der vorinstanzli- che Entscheid angefochten wird. Die Beschwerde führende Partei hat sodann im Einzelnen – in der Beschwerdebegründung selbst – darzulegen, an welchen Mängeln (unrichtige Rechtsanwendung, offensichtlich unrichtige Feststellung des Sachverhalts) der angefochtene Entscheid ihrer Ansicht nach leidet (Freiburg- haus/Afheldt, in: Sutter-Somm/Hasenböhler/Leuenberger, Kommentar zur Schweizerischen Zivilprozessordnung [ZPO], 2. Aufl., Zürich/Basel/Genf 2013, Art. 321 N 14 f.). Erfüllt die Beschwerde grundlegende Inhaltsanforderungen nicht, fehlt es an einer Eintretensvoraussetzung und die Rechtsmittelinstanz hat darauf nicht einzu- treten. Inhaltliche Nachbesserung der Begründung ist nach Ablauf der Beschwer- defrist nicht zulässig (Sterchi, in: Berner Kommentar zur ZPO, Band II, Bern 2012, Art. 321 N 22). b) Die Eingabe der Gesuchsgegnerin ist als Beschwerde unzureichend, da sie sich in ihrer Beschwerdeschrift mit den Erwägungen des angefochtenen Ur- teils nicht auseinandersetzt. So führt die Gesuchsgegnerin in ihrer Beschwerde- schrift (Urk. 13) nicht aus, wieso die rechtliche Erwägung der Vorinstanz, die Rückzugserklärung sei als vorbehaltlose Anerkennung des Begehrens um Rechtsöffnung aufzufassen, weshalb im anbegehrten Umfang definitive Rechts- öffnung zu erteilen sei (Urk. 14 S. 2 f. E. 2), nicht zutreffend sei. Sie führt im Rahmen der Beschwerde erneut einzig aus, dass die seitens des Gesuchstellers ausgestellte Quellensteuerrechnung einen quellensteuerpflichtigen Arbeitnehmer betreffe, welcher bei ihr keiner Beschäftigung nachgegangen sei (Urk. 13 S. 2). Im Verfahren betreffend definitive Rechtsöffnung kann der Betriebene hingegen le- diglich die Verjährung anrufen oder durch Urkunden beweisen, dass die Schuld seit Erlass des Entscheids getilgt oder gestundet worden ist. Gelingt ihm dies nicht, wird die definitive Rechtsöffnung erteilt (Art. 81 Abs. 1 SchKG). Im vorlie-</w:t>
      </w:r>
    </w:p>
    <w:p>
      <w:r>
        <w:t>- 4 - genden Rechtsöffnungsverfahren hat die Gesuchsgegnerin keine dieser Einwen- dungen vorgebracht. Auf die Beschwerde ist daher mangels einer genügenden Begründung nicht einzutreten. c) Die Gesuchsgegnerin ist im Übrigen darauf hinzuweisen, dass im Rechts- öffnungsverfahren einzig darüber zu entscheiden ist, ob die durch den Rechtsvor- schlag gehemmte Betreibung weitergeführt werden darf oder nicht. Insbesondere kann die sachliche Richtigkeit des der Rechtsöffnung zugrunde liegenden Ent- scheids nicht mehr überprüft werden. Der vorinstanzliche Rechtsöffnungsrichter durfte daher den Einschätzungsentscheid des kantonalen Steueramtes Zürich für die Quellensteuern (Staats-, Gemeinde- und Bundessteuern) 2012 vom 15. April 2014 (Urk. 2/1) sowie die dazugehörige 2. Zahlungsmahnung vom 29. September 2014 (Urk. 2/2) nicht nochmals selber überprüfen. 3. a) Die Prozesskosten werden der unterliegenden Partei auferlegt. Bei Nichteintreten gilt die klagende Partei bzw. die Partei, welche das Rechtsmittel erhoben hat, als unterliegend (vgl. Art. 106 Abs. 1 ZPO), weshalb der Gesuchs- gegnerin die Gerichtskosten des Beschwerdeverfahrens aufzuerlegen sind. Für deren Bemessung gelangt gemäss Praxis der Kammer die Gebührenverordnung zum Bundesgesetz über Schuldbetreibung und Konkurs (GebV SchKG; SR 281.35) zur Anwendung (Art. 16 SchKG; ZR 110 [2011] Nr. 28). Die Spruch- gebühr ist gestützt auf Art. 48 i.V.m. Art. 61 Abs. 1 GebV SchKG auf Fr. 300.– festzusetzen. b) Mangels wesentlicher Umtriebe ist dem Gesuchsteller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