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RT150071 vom 30. April 2015</w:t>
      </w:r>
    </w:p>
    <w:p>
      <w:r>
        <w:t>ZH Obergericht, 2015-04-30, DE</w:t>
      </w:r>
    </w:p>
    <w:p>
      <w:r>
        <w:rPr>
          <w:b/>
        </w:rPr>
        <w:t xml:space="preserve">Quelle: </w:t>
      </w:r>
      <w:r>
        <w:t>https://mcp.opencaselaw.ch/entscheid/zh_obergericht_RT150071</w:t>
      </w:r>
    </w:p>
    <w:p>
      <w:r>
        <w:t>FR: ZH_OBERGERICHT RT150071 du 30 avril 2015</w:t>
      </w:r>
    </w:p>
    <w:p>
      <w:r>
        <w:t>IT: ZH_OBERGERICHT RT150071 del 30 aprile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Vorweg und mittels superprovisorischer Massnahme und ex tunc die aufschiebende Wirkung für die oben erwähnte Betreibung, ins- besondere damit auch betreffend der Vollstreckung (Pfändung) aufgrund des ausgefällten Urteil vom 17. März 2015 im oben er- wähnten Verfahren bis zum rechtskräftigen Entscheid in der hier vorliegenden Sache zu gewähren.</w:t>
      </w:r>
    </w:p>
    <w:p>
      <w:r>
        <w:rPr>
          <w:b/>
        </w:rPr>
        <w:t>E. 2</w:t>
      </w:r>
    </w:p>
    <w:p>
      <w:r>
        <w:t>Die Betreibung als nichtig zu erklären (ex tunc), das Rechtsöff- nungsbegehren zurückzuweisen, das dazugehörige Urteil vom 17. März 2015 ex tunc aufzuheben und aufgrund formeller Fehler (eventualiter aufgrund offensichtlicher falscher Sachverhaltsfest- stellung) im oben erwähnten Gesamt-Verfahren (Betreibung und Rechtsöffnung). eventualiter ex tunc</w:t>
      </w:r>
    </w:p>
    <w:p>
      <w:r>
        <w:rPr>
          <w:b/>
        </w:rPr>
        <w:t>E. 3</w:t>
      </w:r>
    </w:p>
    <w:p>
      <w:r>
        <w:t>Die zuständigen Behörden anzuweisen, die dazugehörige Betrei- bung inkl. Zinsen und Kosten umgehend zu löschen mit umgehen- den Löschungsnachweis an mich (alles ohne Kostenfolgen für mich).</w:t>
      </w:r>
    </w:p>
    <w:p>
      <w:r>
        <w:rPr>
          <w:b/>
        </w:rPr>
        <w:t>E. 4</w:t>
      </w:r>
    </w:p>
    <w:p>
      <w:r>
        <w:t>Der Beklagte spricht in seiner Beschwerdeschrift immer wieder von Be- fangenheit (vgl. Urk. 21 S. 3 f. Ziff. 2, S. 5 Ziff. 7 und S. 6 Ziff. 11). Ob er mit sei- nen Ausführungen ein Ausstandsgesuch stellen möchte, bleibt unklar. Zudem be- antragte er auch nicht explizit den Ausstand einer Gerichtsperson. Die pauschale Ablehnung des Spruchkörpers mit der allgemeinen Kritik, die Behörde sei als sol- che "institutionell" befangen, ist nicht zulässig (Kiener, in: Oberhammer/Domej/ Haas, Kurzkommentar ZPO, 2. Aufl., Basel 2014, Art. 49 N 2 m.w.H.). Ferner machte er auch keine einen Ausstand begründenden Tatsachen glaubhaft (Art. 49 Abs. 1 ZPO). Die nicht weiter begründete Behauptung fehlender Unabhängigkeit oder der Äusserung subjektiver Befürchtungen genügt nicht (Kiener, in: Ober- hammer/Domej/Haas, a.a.O., Art. 49 N 3 m.w.H.). Somit ist auf das (allfällige) Ausstandsgesuch des Beklagten nicht einzutreten.</w:t>
      </w:r>
    </w:p>
    <w:p>
      <w:r>
        <w:rPr>
          <w:b/>
        </w:rPr>
        <w:t>E. 5</w:t>
      </w:r>
    </w:p>
    <w:p>
      <w:r>
        <w:t>Die zweitinstanzliche Spruchgebühr ist ausgangsgemäss dem Beklagten aufzuerlegen (Art. 106 Abs. 1 ZPO). Für deren Bemessung gelangt gemäss Pra- xis der Kammer die Gebührenverordnung zum Bundesgesetz über Schuldbetrei- bung und Konkurs (GebV SchKG; SR 281.35) zur Anwendung (Art. 16 SchKG; ZR 110 [2011] Nr. 28). Die Spruchgebühr ist gestützt auf Art. 48 i.V.m. Art. 61 Abs. 1 GebV SchKG auf Fr. 225.– festzusetzen. Mangels wesentlicher Umtriebe ist der Klägerin für das Beschwerdeverfah- 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