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RT150070 vom 9. Juli 2015</w:t>
      </w:r>
    </w:p>
    <w:p>
      <w:r>
        <w:t>ZH Obergericht, 2015-07-09, DE</w:t>
      </w:r>
    </w:p>
    <w:p>
      <w:r>
        <w:rPr>
          <w:b/>
        </w:rPr>
        <w:t xml:space="preserve">Quelle: </w:t>
      </w:r>
      <w:r>
        <w:t>https://mcp.opencaselaw.ch/entscheid/zh_obergericht_RT150070</w:t>
      </w:r>
    </w:p>
    <w:p>
      <w:r>
        <w:t>FR: ZH_OBERGERICHT RT150070 du 9 juillet 2015</w:t>
      </w:r>
    </w:p>
    <w:p>
      <w:r>
        <w:t>IT: ZH_OBERGERICHT RT150070 del 9 luglio 2015</w:t>
      </w:r>
    </w:p>
    <w:p>
      <w:pPr>
        <w:pStyle w:val="Heading2"/>
      </w:pPr>
      <w:r>
        <w:t>Erwägungen</w:t>
      </w:r>
    </w:p>
    <w:p>
      <w:r>
        <w:rPr>
          <w:b/>
        </w:rPr>
        <w:t>E. 1</w:t>
      </w:r>
    </w:p>
    <w:p>
      <w:r>
        <w:t>Mit Eingabe vom 5. November 2014 stellte die Gesuchstellerin gestützt auf einen zwischen C._____ und dem Gesuchsgegner am 1. Februar 2007 unter- zeichneten "Kaufvertrag Aktienbeteiligung" ein Begehren um provisorische Rechtsöffnung. Nach durchgeführter Verhandlung hiess die Vorinstanz das Be- gehren mit Entscheid vom 5. Februar 2015 vollumfänglich gut und erteilte proviso- rische Rechtsöffnung für Fr. 600'000.– nebst Zins zu 2.25 % seit 1. Juli 2014, für die Betreibungskosten von Fr. 203.30 sowie für Kosten- und Entschädigungsfol- gen ihres Urteils (Urk. 18 S. 6 f., Dispositivziffer 1).</w:t>
      </w:r>
    </w:p>
    <w:p>
      <w:r>
        <w:rPr>
          <w:b/>
        </w:rPr>
        <w:t>E. 2</w:t>
      </w:r>
    </w:p>
    <w:p>
      <w:r>
        <w:t>Die der Beschwerdegegnerin in der Betreibung Nr. ... des Betrei- bungsamtes Wetzikon ZH (Zahlungsbefehl vom 24. September 2014) erteilte provisorische Rechtsöffnung für den Betrag von CHF 600'000.– nebst Zins zu 2.25 % seit 01. Juli 2014, für die Be- treibungskosten von CHF 203.30 sowie für Kosten und Entschä- digung gemäss Ziff. 2 bis 4 des Entscheids vom 05. Februar 2015 (Geschäfts-Nr. EB140279, Bezirksgericht Hinwil) sei aufzuheben bzw. sei der Beschwerdegegnerin die Rechtsöffnung zu verwei- gern.</w:t>
      </w:r>
    </w:p>
    <w:p>
      <w:r>
        <w:rPr>
          <w:b/>
        </w:rPr>
        <w:t>E. 3</w:t>
      </w:r>
    </w:p>
    <w:p>
      <w:r>
        <w:t>Alles unter Kosten- und Entschädigungsfolgen zulasten der Be- schwerdegegnerin. Der Kostenvorschuss ging fristgerecht ein (Urk. 22; Urk. 23) Mit Beschwerdeant- wort vom 21. Mai 2015 beantragte die Gesuchstellerin und Beschwerdegegnerin (fortan Gesuchstellerin) die Abweisung der Beschwerde, soweit darauf einzutre- ten sei (Urk. 25 S. 2). Die Beschwerdeantwort wurde dem Gesuchsgegner am</w:t>
      </w:r>
    </w:p>
    <w:p>
      <w:r>
        <w:rPr>
          <w:b/>
        </w:rPr>
        <w:t>E. 3.1</w:t>
      </w:r>
    </w:p>
    <w:p>
      <w:r>
        <w:t>Der Gesuchsgegner hält an der vor Vorinstanz geäusserten Auffassung fest, dass der Aktienkaufvertrag nicht vollzogen worden sei. Von der Gesuchstellerin sei weder eine Quittung für die Übergabe der Aktien noch eine Kopie von indos- sierten Aktien eingereicht oder eine Zession nachgewiesen worden. Ohne Einhal- tung der für eine Aktienübertragung massgeblichen Formvorschriften sei eine rechtsgültige Übertragung von Aktien schlicht nicht möglich. Auch aus dem an- waltlichen Berufsalltag sei bekannt, dass bei Unternehmenskäufen oftmals nicht diejenigen Personen Aktionäre einer Gesellschaft seien, welche meinten, deren Aktionäre zu sein (unter Verweis auf einen Aufsatz von RA lic. iur. Oliver Blum zum Thema "Rechtsmängel bei der Übertragung von Aktien"). Vor diesem Hinter- grund sei es also in keiner Weise unglaubwürdig, dass die Aktien vorliegend nicht rechtsgültig auf den Gesuchsgegner übertragen worden seien. Die Vorinstanz habe das Recht unrichtig angewandt, wenn sie den vom Gesuchsgegner geltend gemachten Sachverhalt als offensichtlich haltlos beurteile. In Bezug auf die Basler</w:t>
      </w:r>
    </w:p>
    <w:p>
      <w:r>
        <w:t>- 5 - Rechtsöffnungspraxis sei festzuhalten, dass der Schuldner bei zweiseitigen Ver- trägen die nicht gehörige Erbringung der Gegenleistung nur behaupten und nicht glaubhaft machen müsse. Wenn der Schuldner bestreite, dass die Gegenleistung erbracht worden sei, so sei gemäss Rechtsprechung im Kanton Zürich die Durch- setzung des Anspruchs nur dann möglich, wenn die Behauptung sofort durch Ur- kunden liquide widerlegt werden könne. Es sei auch nicht ersichtlich, inwiefern der Sachverhalt anders als durch blosse Bestreitung und schriftliche Bestätigung nachgewiesen werden könne. Demgegenüber könne eine Übertragung von Aktien bei einer sorgfältigen Abwicklung des Verfügungsgeschäftes ohne weiteres nach- gewiesen werden. Auch diese beweisrechtliche Komponente in Bezug auf die tat- sächlichen Möglichkeiten zum Nachweis eines Sachverhaltes bzw. zum Nachweis des Nichtvorhandenseins des behaupteten Sachverhaltes sei beim vorinstanzli- chen Entscheid in keiner Weise berücksichtigt worden. Es liege auch insofern ei- ne unrichtige Rechtsanwendung vor (Urk. 17 S. 13 ff.).</w:t>
      </w:r>
    </w:p>
    <w:p>
      <w:r>
        <w:rPr>
          <w:b/>
        </w:rPr>
        <w:t>E. 3.2</w:t>
      </w:r>
    </w:p>
    <w:p>
      <w:r>
        <w:t>Die Vorinstanz stellt die rechtlichen Ausführungen zur Erteilung der proviso- rischen Rechtsöffnung zutreffend dar (Urk. 18 S. 3 f.). Ziel des Verfahrens auf provisorische Rechtsöffnung ist es, über die Existenz eines Vollstreckungstitels zu befinden. Die Prüfungszuständigkeit des Rechtsöffnungsrichters umfasst aus- schliesslich Fragen im Zusammenhang mit der Tauglichkeit der präsentierten Ur- kunden. Dass im Rahmen des Rechtsöffnungsverfahrens vorfrageweise auch gewisse materiellrechtliche Punkte zu berücksichtigen sind, ändert an der Rechtsnatur desselben nichts. Der materielle Forderungsprozess folgt erst nach dem Rechtsöffnungsentscheid und auch nur dann, wenn eine der Parteien die Ini- tiative hiezu ergreift. Geschieht dies nicht, bleibt je nach Ausgang des Rechtsöff- nungsverfahrens die Zwangsvollstreckung entweder eingestellt oder sie kann ih- ren Fortgang nehmen, ohne dass die Begründetheit der Forderung je geprüft worden wäre. Der allfällige Forderungsprozess wird zudem inhaltlich durch das vorangegangene Rechtsöffnungsverfahren nicht präjudiziert. Dem Urteil im Rechtsöffnungsprozess kommt aufgrund des anders gelagerten Streitgegen- stands keine Rechtskraftwirkung für den späteren Forderungsprozess zu (BGer 5A_206/2013 vom 13. Mai 2013 E. 2.2 m.w.H).</w:t>
      </w:r>
    </w:p>
    <w:p>
      <w:r>
        <w:t>- 6 -</w:t>
      </w:r>
    </w:p>
    <w:p>
      <w:r>
        <w:rPr>
          <w:b/>
        </w:rPr>
        <w:t>E. 3.3</w:t>
      </w:r>
    </w:p>
    <w:p>
      <w:r>
        <w:t>Mit der Vorinstanz ist festzuhalten, dass mit dem im "Kaufvertrag Aktienbe- teiligung" enthaltenen Darlehensvertrag für den in Betreibung gesetzten Betrag von Fr. 600'000.– eine Schuldanerkennung im Sinn von Art. 82 Abs. 1 SchKG vorliegt. Zum Nachweis ihrer Rechtsnachfolge reichte die Gesuchstellerin sodann eine vom 6. Mai 2015 datierende Zessionsurkunde sowie eine Abtretung gemäss Art. 260 SchKG im Konkurs der D._____ AG vom 28. Januar 2014 ins Recht (Urk. 2/7, 2/8).</w:t>
      </w:r>
    </w:p>
    <w:p>
      <w:r>
        <w:rPr>
          <w:b/>
        </w:rPr>
        <w:t>E. 3.4</w:t>
      </w:r>
    </w:p>
    <w:p>
      <w:r>
        <w:t>Gemäss Art. 82 Abs. 2 SchKG spricht der Richter die provisorische Rechts- öffnung aus, sofern der Betriebene nicht Einwendungen, welche die Schuldaner- kennung entkräften, sofort glaubhaft macht (BGE 136 III 637 E. 2). Behauptet der Schuldner im Rechtsöffnungsverfahren, die Gegenleistung sei nicht oder nicht ordnungsgemäss erbracht worden, so kann laut Einredetheorie gemäss Basler Rechtsöffnungspraxis aufgrund von vollkommen zweiseitigen Verträgen provisori- sche Rechtsöffnung nicht nur erteilt werden, wenn der Gläubiger die Einwendung der nicht gehörigen Erfüllung der Gegenleistung sofort durch Urkunden liquide wi- derlegen kann, sondern auch dann, wenn der Schuldner in haltloser Weise be- hauptet, die im Synallagma stehende Vertragsleistung sei nicht oder nicht ord- nungsgemäss erbracht worden (vgl. SchKG-Staehelin, Art. 82 N 98 ff.). Die vom Gesuchsgegner erwähnte Zürcher Rechtsprechung bezieht sich auf Sachverhalte, bei denen die ordnungsgemäss erbrachte Leistung in nicht offensichtlich haltloser Weise bestritten wird (SchKG-Staehelin, Art. 82 N 107). Die Vorinstanz erachtete jedoch die Bestreitung der Übergabe der Aktien als offensichtlich haltlos, und sie befreite (sinngemäss) die Gesuchstellerin vom Urkundennachweis der Aktien- übergabe.</w:t>
      </w:r>
    </w:p>
    <w:p>
      <w:r>
        <w:rPr>
          <w:b/>
        </w:rPr>
        <w:t>E. 3.5</w:t>
      </w:r>
    </w:p>
    <w:p>
      <w:r>
        <w:t>Ein Darlehensvertrag über eine bestimmte Summe taugt grundsätzlich als Rechtsöffnungstitel für die Rückzahlung des Darlehens, solange der Schuldner die Auszahlung nicht bestreitet. Tut er dies, so hat der Gläubiger überdies die Auszahlung nachzuweisen, denn der Darlehensvertrag begründet zunächst eine Verpflichtung zur Hingabe der Darlehensvaluta, und die Rückzahlungspflicht der Gegenseite kann sich selbstredend erst dann aktualisieren, wenn der Hingabe- pflicht nachgelebt wurde (und überdies das Darlehen zur Rückzahlung fällig ist)</w:t>
      </w:r>
    </w:p>
    <w:p>
      <w:r>
        <w:t>- 7 - (BGE 136 III 627 E. 2). Es handelt sich um eine Selbstverständlichkeit, einem Gläubiger den Beweis der Auszahlung aufzuerlegen (BGE 136 III 627 E. 3.4). Allerdings lässt es die bundesgerichtliche Rechtsprechung zu, dass der entspre- chende Nachweis auch auf andere Art als mit einem eindeutigen Auszahlungs- nachweis geführt wird, soweit er sich mit der besonderen Natur des Rechtsöff- nungsverfahrens verträgt (BGer 5A_326/2011 vom 6. September 2011, E. 3.3).</w:t>
      </w:r>
    </w:p>
    <w:p>
      <w:r>
        <w:rPr>
          <w:b/>
        </w:rPr>
        <w:t>E. 3.6</w:t>
      </w:r>
    </w:p>
    <w:p>
      <w:r>
        <w:t>Im zu beurteilenden Fall handelt es sich nicht um einen reinen Darlehens- vertrag mit bestrittener Hingabe der Darlehensvaluta, sondern um einen Kaufver- trag mit einer Darlehensabrede in Bezug auf einen Teil des Kaufpreises. Entspre- chend erfolgte die Einwendung, der Verkäufer (und gleichzeitige Darleiher) sei seiner aus dem Aktienkaufvertrag resultierenden Pflicht, die Namenaktien zu übertragen, nicht nachgekommen. Die Vorinstanz verwarf diese Einrede in Wür- digung der ihr vorliegenden Dokumente. Was der Gesuchsgegner dagegen vor- bringt, ist aus folgenden Gründen unbehelflich:</w:t>
      </w:r>
    </w:p>
    <w:p>
      <w:r>
        <w:rPr>
          <w:b/>
        </w:rPr>
        <w:t>E. 3.7</w:t>
      </w:r>
    </w:p>
    <w:p>
      <w:r>
        <w:t>Der Gesuchsgegner wiederholt im Wesentlichen die vor Erstinstanz geäus- serten Argumente (vgl. Prot. I S. 3 ff.), ohne sich mit dem angefochtenen Ent- scheid substantiiert auseinanderzusetzen. Die Vorinstanz hat nicht - wie behaup- tet - lediglich darauf abgestellt, dass auch der Gesuchsgegner über einen länge- ren Zeitraum davon ausgegangen sei, dass er Aktionär der D._____ AG sei (Urk. 17 S. 12). Sie hat das Verhalten und die Umstände als Ganzes geprüft und ge- würdigt (vorn Ziff. 2). Der von C._____ und dem Gesuchsgegner am 1. Februar 2007 unterzeichnete Vertrag sah vor, dass die Bezahlung des Kaufpreises Zug um Zug mit der Übergabe der Aktien erfolgt, und zwar raschmöglichst, jedoch spätestens bis zum 31. Dezember 2007. Weiter vereinbarten die Vertragsparteien den Abschluss eines Aktionärbindungsvertrags "mit der Übertragung".(Urk. 2/1). Der Gesuchsgegner geht nicht darauf ein, dass er die Barzahlung von Fr. 800'000.– geleistet und den Erhalt des betreffenden Aktienanteils nie reklamiert hat. Eigenen Angaben zufolge behält er sich eine Rückforderung heute erst noch vor (Prot. I S. 5). Er setzt sich auch nicht mit der Erwägung auseinander, wonach der Aktionärbindungsvertrag, welcher im November 2007 und somit rund 10 Mo- nate nach Abschluss des Kaufvertrags unterzeichnet wurde, ihn als Halter von 60</w:t>
      </w:r>
    </w:p>
    <w:p>
      <w:r>
        <w:t>- 8 - Namenaktien aufführt, was er unterschriftlich bestätigt hat (Urk. 2/2). Dasselbe trifft auf den Vorhalt zu, dass der Gesuchsgegner bzw. sein Rechtsvertreter in ei- nem Schreiben vom 11. April 2012 selbst von einer 20 %-Beteiligung an der D._____ AG spricht (Urk. 9). Der allgemeine Hinweis darauf, dass es in der Praxis recht oft zu formellen Übertragungsfehlern komme, genügt derweil nicht.</w:t>
      </w:r>
    </w:p>
    <w:p>
      <w:r>
        <w:rPr>
          <w:b/>
        </w:rPr>
        <w:t>E. 3.8</w:t>
      </w:r>
    </w:p>
    <w:p>
      <w:r>
        <w:t>Weiter wird mit der Beschwerde geltend gemacht, erst mit dem Rechtsöff- nungsverfahren sei dem Gesuchsgegner bewusst geworden, dass gar keine Ak- tienübertragung stattgefunden habe. Erst dieses habe Anlass gegeben, den Ak- tienkaufvertrag und den Vollzug im Einzelnen zu überprüfen (Urk. 17 S. 12 f.). Dieses Vorbringen ist novenrechtlich verspätet und daher nicht zu hören (Art. 326 Abs. 1 ZPO). Im Übrigen widerspricht sich der Gesuchsgegner, der vor Vorinstanz ausführen liess, er könne nicht sagen, wann er die nicht erfolgte Übertragung ge- merkt habe (Prot. I S. 7). Die Parteien dürfen sich mit ihren Behauptungen grund- sätzlich nicht selbst widersprechen. Ihre widersprüchlichen Behauptungen heben sich gegenseitig auf (Schellhammer, Zivilprozess, 14. Aufl. 2012, N 1279; vgl. auch Frank/Sträuli/Messmer, Kommentar zur zürcherischen Zivilprozessordnung, 3. Aufl. 1997, § 113 N 13). Folglich wäre das widersprüchliche Vorbringen auch deshalb unbeachtlich.</w:t>
      </w:r>
    </w:p>
    <w:p>
      <w:r>
        <w:rPr>
          <w:b/>
        </w:rPr>
        <w:t>E. 3.9</w:t>
      </w:r>
    </w:p>
    <w:p>
      <w:r>
        <w:t>Schliesslich beanstandet der Gesuchsgegner, die Vorinstanz habe die Glaubwürdigkeit der Behauptungen der beiden Verfahrensparteien einseitig zu seinen Lasten gewürdigt. Einerseits sei bereits der Aktienkaufvertrag in einer sehr nachlässigen Art und Weise redigiert worden. Bereits dieser Umstand lege nahe, dass auch der "Vollzug" dieses Vertrages ungenügend erfolgt sein könnte. And- rerseits sei nicht berücksichtigt worden, dass die Behauptungen betreffend die Verbuchung des Darlehens bei der D._____ AG vom Gesuchsgegner widerlegt worden seien bzw. zumindest in erdrückendem Masse hätten in Zweifel gezogen werden können (Urk. 17 S. 15 f.). Dass der Vertrag nachlässig redigiert worden sei, ist eine neue und unzulässige Behauptung (Art. 326 Abs. 1 ZPO). Was die Glaubwürdigkeit der Parteien angeht, so hat die Vorinstanz ihren Entscheid nicht gestützt auf (mündliche) Angaben der Gesuchstellerin, sondern in erster Linie aufgrund der eingereichten Urkunden ge-</w:t>
      </w:r>
    </w:p>
    <w:p>
      <w:r>
        <w:t>- 9 - fällt, insbesondere den Kaufvertrag und den Aktionärbindungsvertrag, beide je auch vom Gesuchsgegner unterzeichnet, sowie auf das Schreiben des Rechts- vertreters des Gesuchsgegners vom 11. April 2012 (Urk. 2/1, 2/2, 9). Den Inhalt dieser Schriftstücke hat der Gesuchsgegner nie bestritten, ebenso wenig die Feststellung der Vorinstanz, dass er gegenüber dem Verkäufer die Übergabe der Namenaktien nie moniert habe. Die Behauptung des Gesuchsgegners, C._____ habe die Darlehensforderung an die D._____ AG zediert und diese habe ihm im Gegenzug Fr. 600'000.– zuzüglich Zinsen ausbezahlt, ist nicht glaubhaft gemacht worden: Würde sie zutreffen, hätte der Gesuchsgegner keinen Anlass gehabt, durch seinen Rechtsvertreter die Tilgung des Darlehens mit Schreiben vom 11. April 2012 im Rahmen einer "Gesamtlösung" anzubieten (Urk. 9 S. 4).</w:t>
      </w:r>
    </w:p>
    <w:p>
      <w:r>
        <w:rPr>
          <w:b/>
        </w:rPr>
        <w:t>E. 4</w:t>
      </w:r>
    </w:p>
    <w:p>
      <w:r>
        <w:t>Nach dem Gesagten erweisen sich die Vorbringen in der Beschwerde als unbegründet. Die Beschwerde ist daher abzuweisen. III. Ausgangsgemäss wird der Gesuchsgegner kosten- und entschädigungspflichtig (Art. 106 Abs. 1 ZPO). Die Entscheidgebühr für das Beschwerdeverfahren ist in Anwendung von Art. 48 und Art. 61 Abs. 1 GebV SchKG (vgl. ZR 110 Nr. 28) auf Fr. 1'500.– festzusetzen. Sodann ist der Gesuchstellerin in Anwendung von § 3 Abs. 1, § 9 und § 13 Abs. 2 AnwGebV eine Parteientschädigung von Fr. 2'000.– (inkl. Mehrwertsteuer )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