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RT150056 vom 17. Juni 2015</w:t>
      </w:r>
    </w:p>
    <w:p>
      <w:r>
        <w:t>ZH Obergericht, 2015-06-17, DE</w:t>
      </w:r>
    </w:p>
    <w:p>
      <w:r>
        <w:rPr>
          <w:b/>
        </w:rPr>
        <w:t xml:space="preserve">Quelle: </w:t>
      </w:r>
      <w:r>
        <w:t>https://mcp.opencaselaw.ch/entscheid/zh_obergericht_RT150056</w:t>
      </w:r>
    </w:p>
    <w:p>
      <w:r>
        <w:t>FR: ZH_OBERGERICHT RT150056 du 17 juin 2015</w:t>
      </w:r>
    </w:p>
    <w:p>
      <w:r>
        <w:t>IT: ZH_OBERGERICHT RT150056 del 17 giugno 2015</w:t>
      </w:r>
    </w:p>
    <w:p>
      <w:pPr>
        <w:pStyle w:val="Heading2"/>
      </w:pPr>
      <w:r>
        <w:t>Erwägungen</w:t>
      </w:r>
    </w:p>
    <w:p>
      <w:r>
        <w:rPr>
          <w:b/>
        </w:rPr>
        <w:t>E. 1</w:t>
      </w:r>
    </w:p>
    <w:p>
      <w:r>
        <w:t>Die C._____ Aktiengesellschaft (nachfolgend: C._____) war eine liech- tensteinische Gesellschaft mit Sitz in Vaduz. Mit Berufungsentscheid vom 15. Ap- ril 1997 hiess die II. Zivilkammer des Obergerichts des Kantons Zürich eine Klage der C._____ dahin gut, dass der Gesuchsgegner und Beschwerdeführer (nachfol- gend: Gesuchsgegner) verpflichtet wurde, ihr Fr. 3'500'000.– nebst Zins zu 15 % seit dem 1. April 1993, Fr. 743'750.– sowie Zinseszins zu 5 % auf einem Zinsbe- trag von Fr. 1'093'750.– seit dem 1. Dezember 1993 zu bezahlen (Urk. 5/7). Die dem Verfahren zugrunde liegende Arrestbetreibung endete am 9. Februar 1999 in einem Verlustschein über Fr. 7'348'531.65 (Urk. 5/8). Am 11. Februar 2002 wurde die C._____ nach durchgeführter Liquidation im Handelsregister des Fürstentums Liechtenstein gelöscht. Mit Verfügung des liechtensteinischen Amts für Justiz, Ab- teilung Handelsregister, vom 6. Mai 2014 wurde die Nachtragsliquidation hinsicht- lich der gelöschten C._____ eröffnet (Urk. 12/5). Tags darauf unterzeichnete die D._____ mit Sitz in Vaduz (nachfolgend: D._____) als Nachtragsliquidatorin der C._____ eine Abtretungserklärung hinsichtlich der nämlichen Verlustscheinforde- rung zugunsten der Gesuchstellerin und Beschwerdegegnerin (nachfolgend: Ge- suchstellerin; Urk. 5/3). Die Gesuchstellerin ist eine schweizerische Aktiengesell- schaft mit Sitz in Zug.</w:t>
      </w:r>
    </w:p>
    <w:p>
      <w:r>
        <w:rPr>
          <w:b/>
        </w:rPr>
        <w:t>E. 2</w:t>
      </w:r>
    </w:p>
    <w:p>
      <w:r>
        <w:t>Mit Zahlungsbefehl Nr. … des Betreibungsamtes Zürich 2 vom 19. August 2014 betrieb die Gesuchstellerin den Gesuchsgegner über Fr. 7'348'531.65 (Urk. 3). Der Gesuchsgegner erhob Rechtsvorschlag. Mit Eingabe vom 10. November 2014 machte die Gesuchstellerin bei der Vorinstanz das vorliegende Rechtsöff- nungsbegehren anhängig (Urk. 1). Nach durchgeführter Verhandlung hiess die Vorinstanz das Begehren der Gesuchstellerin mit Entscheid vom 4. Februar 2015 gut und erteilte definitive Rechtsöffnung für Fr. 7'347'114.65 und provisorische Rechtsöffnung für die Kosten der ursprünglichen Betreibung in der Höhe von Fr. 1'417.– (Urk. 18 = Urk. 23).</w:t>
      </w:r>
    </w:p>
    <w:p>
      <w:r>
        <w:t>- 3 -</w:t>
      </w:r>
    </w:p>
    <w:p>
      <w:r>
        <w:rPr>
          <w:b/>
        </w:rPr>
        <w:t>E. 3</w:t>
      </w:r>
    </w:p>
    <w:p>
      <w:r>
        <w:t>a) Die Argumentation des Gesuchsgegners beruht auf dem Antrags- schreiben der D._____, der früheren Liquidatorin und nachmaligen Nachtragsli- quidatorin der C._____, an das liechtensteinische Amt für Justiz vom 29. April 2014. Darin hielt die D._____ fest, dass die C._____ sämtliche Forderungen aus dem fraglichen Verlustschein mit Zession vom 18. Mai 2000 an die Gesuchstelle- rin abgetreten habe. Nachdem zwischenzeitlich mehr als zehn Jahre vergangen seien, habe keine der beteiligten Personen die Originale in ihren Akten auffinden können. Nunmehr beabsichtige sie im Rahmen einer Nachtragsliquidation die in Verlust geratene Originalzession vom 18. Mai 2000 neuerlich auszustellen (Urk. 12/4). Der Gesuchsgegner hält das Vorgehen der D._____ für rechtsmissbräuch- lich. Als Folge davon seien die Wiedereintragung der C._____ ins Handelsregister und die Zession vom 7. Mai 2014 nichtig (Urk. 10 S. 7 ff.). Überdies hält der Ge- suchsgegner die nämliche Abtretung auch deshalb für unwirksam, weil die C._____ bereits am 18. Mai 2000 die Verfügungsmacht über die Forderung verlo- ren habe. Die Forderung könne nicht ein zweites Mal abgetreten werden (Urk. 10 S. 5). b) Die Gesuchstellerin bezeichnete die Ausdrucksweise der D._____ als un- präzise (Urk. 13 S. 6). Nach ihrer eigenen Darstellung bestanden im Jahre 2000 zwar Pläne hinsichtlich einer Abtretung der Forderung. Der vom 18. Mai 2000 da- tierende Entwurf sei aber angesichts der (damals) geringen resp. fehlenden Ein- bringlichkeit der Forderung nie unterzeichnet worden (Urk. 13 S. 3 f.).</w:t>
      </w:r>
    </w:p>
    <w:p>
      <w:r>
        <w:t>- 5 - c) Die Vorinstanz folgte der Darstellung der Gesuchstellerin. Sie hielt fest, dass die vom Gesuchsgegner zur Untermauerung seines Standpunkts eingereich- te Zessionsurkunde mit dem durchgestrichenen Datum vom 18. Mai 2000 nicht unterzeichnet worden sei und folglich mangels Schriftform ungültig sei (Urk. 23 E. 3.3).</w:t>
      </w:r>
    </w:p>
    <w:p>
      <w:r>
        <w:rPr>
          <w:b/>
        </w:rPr>
        <w:t>E. 4</w:t>
      </w:r>
    </w:p>
    <w:p>
      <w:r>
        <w:t>a) Der Gesuchsgegner rügt die Sachverhaltsfeststellung der Vorinstanz als offensichtlich unrichtig. Diese habe sich mit den Widersprüchen zwischen dem Antrag der D._____ und den Ausführungen der Gesuchstellerin vor Schranken nicht auseinandergesetzt (Urk. 22 S. 10 f.). b) Mit der Beschwerde nach Art. 319 ff. ZPO können einerseits die unrichti- ge Rechtsanwendung und andererseits die offensichtlich unrichtige Sachverhalts- feststellung geltend gemacht werden (Art. 320 ZPO); offensichtlich unrichtig heisst willkürlich (Art. 9 BV). Ausserdem sind neue Tatsachen und Beweismittel unzu- lässig (Art. 326 ZPO). In erster Linie prüft die Beschwerdeinstanz die erstinstanz- lichen Sachverhaltsfeststellungen auf Willkür hin. Eigene Feststellungen trifft sie nur dann, wenn die erstinstanzlichen offensichtlich unrichtig waren (BGer 5A_891/2011 vom 7. Februar 2012 E. 2.3). c) Richtig ist, dass sich die Vorinstanz nicht zum Antragsschreiben der D._____ geäussert hat. Für sie war offenbar entscheidend, dass keine unter- zeichnete und vom 18. Mai 2000 datierende Abtretungserklärung vorgelegt wur- de, sondern lediglich ein entsprechender Entwurf mit durchgestrichenem Datum (vgl. Urk. 12/7). Ob der Gesuchsgegner mit seiner Sachverhaltskritik die Feststel- lung der Vorinstanz als offensichtlich unrichtig bzw. willkürlich auszuweisen ver- mag, kann hier offen bleiben. Entscheidend ist etwas anderes.</w:t>
      </w:r>
    </w:p>
    <w:p>
      <w:r>
        <w:rPr>
          <w:b/>
        </w:rPr>
        <w:t>E. 5</w:t>
      </w:r>
    </w:p>
    <w:p>
      <w:r>
        <w:t>a) Die Parteien dürfen sich mit ihren Behauptungen grundsätzlich nicht selbst widersprechen. Ihre widersprüchlichen Behauptungen heben sich gegen- seitig auf (Schellhammer, Zivilprozess, 14. Aufl. 2012, N 1279; vgl. auch Frank/ Sträuli/Messmer, Kommentar zur zürcherischen Zivilprozessordnung, 3. Aufl. 1997, § 113 N 13).</w:t>
      </w:r>
    </w:p>
    <w:p>
      <w:r>
        <w:t>- 6 - b) Während sich der Vortrag der Gesuchstellerin als schlüssig erweist und sich lediglich nicht mit dem Antragsschreiben der D._____ in einem anderen Ver- fahren deckt, sind die Vorbingen des Gesuchsgegners im vorliegenden Prozess klarerweise widersprüchlich. Seine ganze Argumentation fusst auf der Behaup- tung, dass die betriebene Forderung bereits am 18. Mai 2000 an die Gesuchstel- lerin abgetreten worden sei. Gleichzeitig bestritt der Gesuchsgegner ausdrücklich, dass am 18. Mai 2000 eine Forderungsabtretung stattgefunden habe (VI Prot. S. 5). Auch im Beschwerdeverfahren wies er noch einmal darauf hin, dass er nicht geltend gemacht habe, dass die C._____ die aus dem Verlustschein resultierende Forderung bereits am 18. Mai 2000 an die Gesuchstellerin zediert habe. Vielmehr habe er geltend gemacht, dass die D._____ dies namens und im Auftrag der Ge- suchstellerin in ihrem Antrag an die Abteilung Handelsregister des liechtensteini- schen Amts für Justiz so behauptet habe (Urk. 22 S. 7). c) Die widersprüchlichen Vorbringen des Gesuchsgegners heben sich ge- genseitig auf und sind somit unbeachtlich. Es kann auf die Darstellung der Ge- suchstellerin abgestützt werden. Die Sachverhaltsfeststellung der Vorinstanz ist im Ergebnis nicht zu beanstanden.</w:t>
      </w:r>
    </w:p>
    <w:p>
      <w:r>
        <w:rPr>
          <w:b/>
        </w:rPr>
        <w:t>E. 6</w:t>
      </w:r>
    </w:p>
    <w:p>
      <w:r>
        <w:t>a) Wurde die in Betreibung gesetzte Forderung nicht bereits am 18. Mai 2000 an die Gesuchstellerin abgetreten, spricht nichts gegen die Gültigkeit der ur- kundlich belegten Zession vom 7. Mai 2014. Es liegt insbesondere auch kein Rechtsmissbrauch vor, nachdem nicht davon ausgegangen werden kann, dass die Wiedereintragung der C._____ in das liechtensteinische Handelsregister am</w:t>
      </w:r>
    </w:p>
    <w:p>
      <w:r>
        <w:rPr>
          <w:b/>
        </w:rPr>
        <w:t>E. 7</w:t>
      </w:r>
    </w:p>
    <w:p>
      <w:r>
        <w:t>Nach dem Gesagten ist die Beschwerde abzuweisen. III. Ausgangsgemäss wird der Gesuchsgegner kosten- und entschädigungs- pflichtig (Art. 106 Abs. 1 ZPO). Die Entscheidgebühr für das Beschwerdeverfah- ren ist in Anwendung von Art. 48 und Art. 61 Abs. 1 GebV SchKG (vgl. ZR 110 Nr. 28) auf Fr. 3'000.– festzusetzen. Für die Stellungnahme zum Gesuch um auf- schiebende Wirkung ist der Gesuchstellerin eine Parteientschädigung von Fr. 1'000.– (inkl. Mehrwertsteuer)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