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RT150036 vom 6. März 2015</w:t>
      </w:r>
    </w:p>
    <w:p>
      <w:r>
        <w:t>ZH Obergericht, 2015-03-06, DE</w:t>
      </w:r>
    </w:p>
    <w:p>
      <w:r>
        <w:rPr>
          <w:b/>
        </w:rPr>
        <w:t xml:space="preserve">Quelle: </w:t>
      </w:r>
      <w:r>
        <w:t>https://mcp.opencaselaw.ch/entscheid/zh_obergericht_RT150036</w:t>
      </w:r>
    </w:p>
    <w:p>
      <w:r>
        <w:t>FR: ZH_OBERGERICHT RT150036 du 6 mars 2015</w:t>
      </w:r>
    </w:p>
    <w:p>
      <w:r>
        <w:t>IT: ZH_OBERGERICHT RT150036 del 6 marzo 2015</w:t>
      </w:r>
    </w:p>
    <w:p>
      <w:pPr>
        <w:pStyle w:val="Heading2"/>
      </w:pPr>
      <w:r>
        <w:t>Erwägungen</w:t>
      </w:r>
    </w:p>
    <w:p>
      <w:r>
        <w:rPr>
          <w:b/>
        </w:rPr>
        <w:t>E. 1</w:t>
      </w:r>
    </w:p>
    <w:p>
      <w:r>
        <w:t>a) Der Gesuchsteller und Beschwerdegegner (fortan Gesuchsteller) stellte vor Erstinstanz mit Eingabe vom 21. Januar 2015 ein Rechtsöffnungsbegehren (Urk. 1). Mit Urteil vom 28. Januar 2015 wurde dieses Begehren abgewiesen und dem Gesuchsteller die Verfahrenskosten auferlegt. Dem Gesuchsgegner und Be- schwerdeführer (fortan Gesuchsgegner) wurde keine Prozessentschädigung zu- gesprochen (Urk. 6). b) Innert Frist erhob der Gesuchsgegner mit Eingabe vom 17. Februar 2015 gegen das obgenannte Urteil Beschwerde (Urk. 7b und Urk. 8).</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Kommentar zur Schweizeri- schen Zivilprozessordnung [ZPO], 2. Aufl., Zürich/Basel/Genf 2013, Vorbemer- kungen zu den Art. 308-318 N 30 m.w.H.). b) Dagegen, dass ihm keine Prozessentschädigung zugesprochen wurde bringt der Gesuchsgegner nicht vor; eine solche würde ihm - nachdem er im vorinstanzlichen Verfahren nicht angehört wurde - ohnehin nicht zustehen. Damit ist dem Gesuchsgegner durch das angefochtene Urteil kein Nachteil entstanden. Auf die Beschwerde des Gesuchsgegners ist demnach mangels Beschwer nicht einzutreten.</w:t>
      </w:r>
    </w:p>
    <w:p>
      <w:r>
        <w:rPr>
          <w:b/>
        </w:rPr>
        <w:t>E. 3</w:t>
      </w:r>
    </w:p>
    <w:p>
      <w:r>
        <w:t>Es rechtfertigt sich, für das Beschwerdeverfahren umständehalber auf Kostenerhebung zu verzichten. Der unterliegende Gesuchsgegner hat keinen An- spruch auf Parteientschädigung (Art. 106 Abs. 1 ZPO). Mangels wesentlicher Um- triebe ist auch dem Gesuchsteller für das Beschwerdeverfahren keine Parteient- schädigung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