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RT140206 vom 16. Januar 2015</w:t>
      </w:r>
    </w:p>
    <w:p>
      <w:r>
        <w:t>ZH Obergericht, 2015-01-16, DE</w:t>
      </w:r>
    </w:p>
    <w:p>
      <w:r>
        <w:rPr>
          <w:b/>
        </w:rPr>
        <w:t xml:space="preserve">Quelle: </w:t>
      </w:r>
      <w:r>
        <w:t>https://mcp.opencaselaw.ch/entscheid/zh_obergericht_RT140206</w:t>
      </w:r>
    </w:p>
    <w:p>
      <w:r>
        <w:t>FR: ZH_OBERGERICHT RT140206 du 16 janvier 2015</w:t>
      </w:r>
    </w:p>
    <w:p>
      <w:r>
        <w:t>IT: ZH_OBERGERICHT RT140206 del 16 gennaio 2015</w:t>
      </w:r>
    </w:p>
    <w:p>
      <w:pPr>
        <w:pStyle w:val="Heading2"/>
      </w:pPr>
      <w:r>
        <w:t>Erwägungen</w:t>
      </w:r>
    </w:p>
    <w:p>
      <w:r>
        <w:rPr>
          <w:b/>
        </w:rPr>
        <w:t>E. 1</w:t>
      </w:r>
    </w:p>
    <w:p>
      <w:r>
        <w:t>a) Der Gesuchsteller und Beschwerdegegner (fortan Gesuchsteller) stellte vor Erstinstanz mit Eingabe vom 25. November 2014 das Begehren, es sei ihm definitive Rechtsöffnung zu erteilen in der Betreibung Nr. ... des Betreibungsam- tes Dübendorf (Zahlungsbefehl vom 22. Oktober 2014) für Fr. 100.– zuzüglich Fr. 20.30 Kosten des Zahlungsbefehls Nr. ..., unter Kosten- und Entschädigungs- folgen zulasten des Gesuchsgegners und Beschwerdeführers (fortan Gesuchs- gegner; Urk. 3/1 f.). Mit Verfügung vom 3. Dezember 2014 wurde dem Gesuchsteller eine Frist von vierzehn Tagen angesetzt, um für die mutmassliche Spruchgebühr bei der Bezirksgerichtskasse Uster einen Kostenvorschuss von Fr. 150.– zu leisten (Urk. 3/4 S. 3 Dispositivziffer 1). b) Innert Frist erhob der Gesuchsgegner mit Eingabe vom 19. Dezember 2014 gegen obgenannte Verfügung Beschwerde mit dem sinngemässen Antrag, die Rechtsöffnung sei abzuweisen (Urk. 1).</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Kommentar zur Schweizeri- schen Zivilprozessordnung [ZPO], 2. Aufl., Zürich/Basel/Genf 2013, Vorbemer- kungen zu den Art. 308-318 N 30 m.w.H.). b) Der Gesuchsgegner wurde durch die angefochtene Verfügung zu nichts verpflichtet, da nicht er, sondern der Gesuchsteller den Kostenvorschuss von Fr. 150.– zu leisten hat. Ihm ist deshalb durch die angefochtene Verfügung kein Nachteil entstanden. Auf die Beschwerde des Gesuchsgegners ist demnach mangels Beschwer nicht einzutreten.</w:t>
      </w:r>
    </w:p>
    <w:p>
      <w:r>
        <w:t>- 3 -</w:t>
      </w:r>
    </w:p>
    <w:p>
      <w:r>
        <w:rPr>
          <w:b/>
        </w:rPr>
        <w:t>E. 3</w:t>
      </w:r>
    </w:p>
    <w:p>
      <w:r>
        <w:t>Es rechtfertigt sich, für das Beschwerdeverfahren umständehalber auf Kostenerhebung zu verzichten. Mangels wesentlicher Umtriebe ist dem Gesuch- steller für das Beschwerdeverfahren sodann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