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RT140203 vom 17. Februar 2015</w:t>
      </w:r>
    </w:p>
    <w:p>
      <w:r>
        <w:t>ZH Obergericht, 2015-02-17, DE</w:t>
      </w:r>
    </w:p>
    <w:p>
      <w:r>
        <w:rPr>
          <w:b/>
        </w:rPr>
        <w:t xml:space="preserve">Quelle: </w:t>
      </w:r>
      <w:r>
        <w:t>https://mcp.opencaselaw.ch/entscheid/zh_obergericht_RT140203</w:t>
      </w:r>
    </w:p>
    <w:p>
      <w:r>
        <w:t>FR: ZH_OBERGERICHT RT140203 du 17 février 2015</w:t>
      </w:r>
    </w:p>
    <w:p>
      <w:r>
        <w:t>IT: ZH_OBERGERICHT RT140203 del 17 febbraio 2015</w:t>
      </w:r>
    </w:p>
    <w:p>
      <w:pPr>
        <w:pStyle w:val="Heading2"/>
      </w:pPr>
      <w:r>
        <w:t>Erwägungen</w:t>
      </w:r>
    </w:p>
    <w:p>
      <w:r>
        <w:rPr>
          <w:b/>
        </w:rPr>
        <w:t>E. 1</w:t>
      </w:r>
    </w:p>
    <w:p>
      <w:r>
        <w:t>a) Die Gesuchstellerin und Beschwerdegegnerin (fortan Gesuchstellerin) stellte vor Erstinstanz mit Eingabe vom 8. April 2014 das Begehren, es sei ihr in der Betreibung Nr. ... des Betreibungsamtes Elgg (Zahlungsbefehl vom 25. Juli 2013) provisorische Rechtsöffnung zu erteilen für Fr. 20'678.60 nebst Zins zu 13.9 % seit 24. Juli 2013 sowie Fr. 93.50 (Verzugszinsen bis 23. Juli 2013), unter Kosten- und Entschädigungsfolge zulasten des Gesuchsgegners und Beschwer- deführers (fortan Gesuchsgegner; Urk. 1, Urk. 2/16 sinngemäss). In der Folge wurde dem Gesuchsgegner mit Verfügung vom 28. April 2014 Frist angesetzt, um schriftlich zum Rechtsöffnungsbegehren der Gesuchstellerin Stellung zu nehmen. Er wurde dabei darauf hingewiesen, dass das Gericht bei Säumnis aufgrund der Akten entscheiden würde (Urk. 3 S. 2 Dispositivziffer 1). Der Gesuchsgegner nahm diese Verfügung am 7. Mai 2014 persönlich entgegen (vgl. Urk. 4), liess sich dazu jedoch nicht vernehmen. Mit unbegründetem Urteil vom 6. November 2014 entschied die Vorinstanz androhungsgemäss aufgrund der vorhandenen Akten und erteilte der Gesuchstel- lerin gestützt auf einen Darlehensvertrag vom 26. Oktober 2012 (Urk. 2/1) provi- sorische Rechtsöffnung in der Betreibung Nr. ... des Betreibungsamtes Elgg (Zah- lungsbefehl vom 25. Juli 2013) für Fr. 20'436.40 nebst Zins zu 13,9 % seit 24. Juli 2013, Fr. 75.– (Mahngebühren), Fr. 93.50 (Verzugszinsen bis 23. Juli 2013) sowie für Kosten und Entschädigung gemäss den Dispositivziffern 2 bis 4 des Urteils. Im Mehrbetrag (Mahngebühren) wurde das Begehren abgewiesen (Urk. 5). Mit Schreiben vom 14. November 2014 verlangte der Gesuchsgegner innert Frist die Begründung des Urteils (Urk. 7), welche er am 10. Dezember 2014 per- sönlich in Empfang nahm (Urk. 8 f.). b) Innert Frist erhob der Gesuchsgegner mit Eingabe vom 19. Dezember 2014 Beschwerde gegen das vorgenannte Urteil mit dem sinngemässen Antrag, es sei das Rechtsöffnungsbegehren abzuweisen (Urk. 10).</w:t>
      </w:r>
    </w:p>
    <w:p>
      <w:r>
        <w:t>- 3 - c) Auf die Ausführungen des Gesuchsgegners in seiner Beschwerdeschrift ist nachfolgend nur insoweit einzugehen, als sich dies für die Entscheidfindung als notwendig erweist.</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 b) Die Ausführungen des Gesuchsgegners in seiner Beschwerdeschrift (Urk. 10) wurden im Rahmen des vorliegenden Rechtsöffnungsverfahrens erst- mals im Beschwerdeverfahren vorgebracht. Diese sind im Sinne von Art. 326 ZPO als verspätet zu betrachten und daher nicht mehr zu berücksichtigen. Auch wenn die Vorbringen des Gesuchsgegners im Beschwerdeverfahren zu berücksichtigen gewesen wären, hätte die Beschwerde nicht gutgeheissen werden können. Er machte geltend, dass seine Bonität und Kreditwürdigkeit frag- würdig seien. Diesbezüglich ist er darauf hinzuweisen, dass er am 26. Oktober 2012 persönlich nicht nur den Darlehensvertrag (Urk. 2/1), sondern auch die auf seinen Angaben beruhende Berechnung des monatlichen Budgetüberschusses unterzeichnet hat, aus welcher hervorgeht, dass er über einen monatlichen Budgetüberschuss von Fr. 747.80 verfügt habe (Urk. 2/2, vgl. dazu auch Urk. 2/1 Ziff. 2). Mit seiner Unterschrift versicherte er die Korrektheit sämtlicher Angaben.</w:t>
      </w:r>
    </w:p>
    <w:p>
      <w:r>
        <w:t>- 4 - Er erklärte mittels seiner Unterzeichnung ausdrücklich, dass er über die Zusam- mensetzung des Budgets informiert worden sei und die Richtigkeit der einzelnen genannten Budgetpositionen überprüft habe (Urk. 2/2). Dass der Darlehensver- trag von seiner Nachbarin und ihrem Freund erzwungen worden sei, wie der Ge- suchsgegner in der Beschwerdeschrift einwendet, konnte er nicht glaubhaft ma- chen (vgl. Art. 82 Abs. 2 SchKG). Im Übrigen setzte sich der Gesuchsgegner mit dem vorinstanzlichen Urteil inhaltlich nicht weiter auseinander.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3</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i.V.m. Art. 61 Abs. 1 GebV SchKG auf Fr. 500.–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